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D5E10" w14:textId="77777777" w:rsidR="00170C9C" w:rsidRDefault="00170C9C">
      <w:pPr>
        <w:adjustRightInd w:val="0"/>
        <w:snapToGrid w:val="0"/>
        <w:spacing w:line="240" w:lineRule="auto"/>
        <w:jc w:val="center"/>
        <w:rPr>
          <w:rFonts w:ascii="仿宋" w:eastAsia="仿宋" w:hAnsi="仿宋"/>
          <w:snapToGrid w:val="0"/>
          <w:spacing w:val="20"/>
          <w:kern w:val="0"/>
          <w:sz w:val="52"/>
          <w:szCs w:val="52"/>
        </w:rPr>
      </w:pPr>
    </w:p>
    <w:p w14:paraId="45CE6FFE" w14:textId="77777777" w:rsidR="00170C9C" w:rsidRDefault="00D83256">
      <w:pPr>
        <w:adjustRightInd w:val="0"/>
        <w:snapToGrid w:val="0"/>
        <w:spacing w:line="240" w:lineRule="auto"/>
        <w:jc w:val="center"/>
        <w:rPr>
          <w:rFonts w:ascii="仿宋" w:eastAsia="仿宋" w:hAnsi="仿宋"/>
          <w:snapToGrid w:val="0"/>
          <w:spacing w:val="20"/>
          <w:kern w:val="0"/>
          <w:sz w:val="52"/>
          <w:szCs w:val="52"/>
        </w:rPr>
      </w:pPr>
      <w:r>
        <w:rPr>
          <w:rFonts w:ascii="仿宋" w:eastAsia="仿宋" w:hAnsi="仿宋" w:hint="eastAsia"/>
          <w:snapToGrid w:val="0"/>
          <w:spacing w:val="20"/>
          <w:kern w:val="0"/>
          <w:sz w:val="52"/>
          <w:szCs w:val="52"/>
        </w:rPr>
        <w:t>中华人民共和国国家标准</w:t>
      </w:r>
    </w:p>
    <w:p w14:paraId="1BAB377F" w14:textId="77777777" w:rsidR="00170C9C" w:rsidRDefault="00170C9C">
      <w:pPr>
        <w:spacing w:line="360" w:lineRule="auto"/>
        <w:jc w:val="center"/>
        <w:rPr>
          <w:b/>
          <w:bCs/>
          <w:sz w:val="32"/>
          <w:szCs w:val="32"/>
        </w:rPr>
      </w:pPr>
    </w:p>
    <w:p w14:paraId="127CBCE9" w14:textId="77777777" w:rsidR="00170C9C" w:rsidRDefault="00170C9C">
      <w:pPr>
        <w:spacing w:line="360" w:lineRule="auto"/>
        <w:jc w:val="center"/>
        <w:rPr>
          <w:b/>
          <w:bCs/>
          <w:sz w:val="32"/>
          <w:szCs w:val="32"/>
        </w:rPr>
      </w:pPr>
    </w:p>
    <w:p w14:paraId="5667EBD8" w14:textId="77777777" w:rsidR="00170C9C" w:rsidRDefault="00170C9C">
      <w:pPr>
        <w:spacing w:line="360" w:lineRule="auto"/>
        <w:jc w:val="center"/>
        <w:rPr>
          <w:b/>
          <w:bCs/>
          <w:sz w:val="32"/>
          <w:szCs w:val="32"/>
        </w:rPr>
      </w:pPr>
    </w:p>
    <w:p w14:paraId="6BCF95F5" w14:textId="77777777" w:rsidR="00170C9C" w:rsidRDefault="00170C9C">
      <w:pPr>
        <w:spacing w:line="360" w:lineRule="auto"/>
        <w:jc w:val="center"/>
        <w:rPr>
          <w:b/>
          <w:bCs/>
          <w:sz w:val="32"/>
          <w:szCs w:val="32"/>
        </w:rPr>
      </w:pPr>
    </w:p>
    <w:p w14:paraId="15B8C5B4" w14:textId="77777777" w:rsidR="00170C9C" w:rsidRDefault="00170C9C">
      <w:pPr>
        <w:spacing w:line="360" w:lineRule="auto"/>
        <w:jc w:val="center"/>
        <w:rPr>
          <w:b/>
          <w:bCs/>
          <w:sz w:val="32"/>
          <w:szCs w:val="32"/>
        </w:rPr>
      </w:pPr>
    </w:p>
    <w:p w14:paraId="6C853ADE" w14:textId="77777777" w:rsidR="00170C9C" w:rsidRDefault="00170C9C">
      <w:pPr>
        <w:spacing w:line="360" w:lineRule="auto"/>
        <w:jc w:val="center"/>
        <w:rPr>
          <w:b/>
          <w:bCs/>
          <w:sz w:val="32"/>
          <w:szCs w:val="32"/>
        </w:rPr>
      </w:pPr>
    </w:p>
    <w:p w14:paraId="4E30447E" w14:textId="77777777" w:rsidR="00170C9C" w:rsidRDefault="00D83256">
      <w:pPr>
        <w:adjustRightInd w:val="0"/>
        <w:snapToGrid w:val="0"/>
        <w:spacing w:line="240" w:lineRule="auto"/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b/>
          <w:bCs/>
          <w:sz w:val="48"/>
          <w:szCs w:val="48"/>
        </w:rPr>
        <w:t>《油酸》</w:t>
      </w:r>
    </w:p>
    <w:p w14:paraId="2CC07AB4" w14:textId="77777777" w:rsidR="00170C9C" w:rsidRDefault="00D83256">
      <w:pPr>
        <w:adjustRightInd w:val="0"/>
        <w:snapToGrid w:val="0"/>
        <w:spacing w:beforeLines="50" w:before="156" w:line="240" w:lineRule="auto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（</w:t>
      </w:r>
      <w:r>
        <w:rPr>
          <w:rFonts w:ascii="仿宋" w:eastAsia="仿宋" w:hAnsi="仿宋" w:hint="eastAsia"/>
          <w:b/>
          <w:sz w:val="44"/>
          <w:szCs w:val="44"/>
        </w:rPr>
        <w:t>初稿</w:t>
      </w:r>
      <w:r>
        <w:rPr>
          <w:rFonts w:ascii="仿宋" w:eastAsia="仿宋" w:hAnsi="仿宋" w:hint="eastAsia"/>
          <w:b/>
          <w:sz w:val="44"/>
          <w:szCs w:val="44"/>
        </w:rPr>
        <w:t>）</w:t>
      </w:r>
    </w:p>
    <w:p w14:paraId="6F301890" w14:textId="77777777" w:rsidR="00170C9C" w:rsidRDefault="00D83256">
      <w:pPr>
        <w:adjustRightInd w:val="0"/>
        <w:snapToGrid w:val="0"/>
        <w:spacing w:beforeLines="50" w:before="156" w:line="24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编制说明</w:t>
      </w:r>
    </w:p>
    <w:p w14:paraId="232B4FF7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4FA76FC0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6576FB5B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2095AD66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2929E5A4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475B9846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1FED8B26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770002D9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567A3B10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2A38B4F2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5C82837A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15FAB7D0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4E6A6DE5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6406C108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72283DC0" w14:textId="77777777" w:rsidR="00170C9C" w:rsidRDefault="00D83256">
      <w:pPr>
        <w:adjustRightInd w:val="0"/>
        <w:snapToGrid w:val="0"/>
        <w:spacing w:line="240" w:lineRule="auto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《油酸》起草组</w:t>
      </w:r>
    </w:p>
    <w:p w14:paraId="0CD5D388" w14:textId="77777777" w:rsidR="00170C9C" w:rsidRDefault="00D83256">
      <w:pPr>
        <w:adjustRightInd w:val="0"/>
        <w:snapToGrid w:val="0"/>
        <w:spacing w:beforeLines="50" w:before="156" w:line="240" w:lineRule="auto"/>
        <w:jc w:val="center"/>
        <w:rPr>
          <w:rFonts w:ascii="Times New Roman" w:eastAsia="仿宋" w:hAnsi="Times New Roman"/>
          <w:b/>
          <w:szCs w:val="21"/>
        </w:rPr>
      </w:pPr>
      <w:r>
        <w:rPr>
          <w:rFonts w:ascii="Times New Roman" w:eastAsia="仿宋" w:hAnsi="Times New Roman"/>
          <w:b/>
          <w:sz w:val="36"/>
          <w:szCs w:val="36"/>
        </w:rPr>
        <w:t>20</w:t>
      </w:r>
      <w:r>
        <w:rPr>
          <w:rFonts w:ascii="Times New Roman" w:eastAsia="仿宋" w:hAnsi="Times New Roman" w:hint="eastAsia"/>
          <w:b/>
          <w:sz w:val="36"/>
          <w:szCs w:val="36"/>
        </w:rPr>
        <w:t>2</w:t>
      </w:r>
      <w:r>
        <w:rPr>
          <w:rFonts w:ascii="Times New Roman" w:eastAsia="仿宋" w:hAnsi="Times New Roman"/>
          <w:b/>
          <w:sz w:val="36"/>
          <w:szCs w:val="36"/>
        </w:rPr>
        <w:t>2</w:t>
      </w:r>
      <w:r>
        <w:rPr>
          <w:rFonts w:ascii="Times New Roman" w:eastAsia="仿宋" w:hAnsi="仿宋"/>
          <w:b/>
          <w:sz w:val="36"/>
          <w:szCs w:val="36"/>
        </w:rPr>
        <w:t>年</w:t>
      </w:r>
      <w:r>
        <w:rPr>
          <w:rFonts w:ascii="Times New Roman" w:eastAsia="仿宋" w:hAnsi="Times New Roman" w:hint="eastAsia"/>
          <w:b/>
          <w:sz w:val="36"/>
          <w:szCs w:val="36"/>
        </w:rPr>
        <w:t>1</w:t>
      </w:r>
      <w:r>
        <w:rPr>
          <w:rFonts w:ascii="Times New Roman" w:eastAsia="仿宋" w:hAnsi="仿宋"/>
          <w:b/>
          <w:sz w:val="36"/>
          <w:szCs w:val="36"/>
        </w:rPr>
        <w:t>月</w:t>
      </w:r>
    </w:p>
    <w:p w14:paraId="0220C7BA" w14:textId="77777777" w:rsidR="00170C9C" w:rsidRDefault="00170C9C">
      <w:pPr>
        <w:adjustRightInd w:val="0"/>
        <w:snapToGrid w:val="0"/>
        <w:spacing w:line="240" w:lineRule="auto"/>
        <w:rPr>
          <w:rFonts w:ascii="宋体" w:hAnsi="宋体"/>
          <w:b/>
          <w:szCs w:val="21"/>
        </w:rPr>
      </w:pPr>
    </w:p>
    <w:p w14:paraId="3E9ACA57" w14:textId="77777777" w:rsidR="00170C9C" w:rsidRDefault="00170C9C">
      <w:pPr>
        <w:spacing w:line="6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14:paraId="5351460C" w14:textId="77777777" w:rsidR="00170C9C" w:rsidRDefault="00170C9C">
      <w:pPr>
        <w:spacing w:line="6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14:paraId="6FF90E0D" w14:textId="77777777" w:rsidR="00170C9C" w:rsidRDefault="00D83256">
      <w:pPr>
        <w:spacing w:line="6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《油酸》编制说明</w:t>
      </w:r>
    </w:p>
    <w:p w14:paraId="409D04CE" w14:textId="77777777" w:rsidR="00170C9C" w:rsidRDefault="00D83256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标准修订的意义和必要性</w:t>
      </w:r>
    </w:p>
    <w:p w14:paraId="62CE24E1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油酸</w:t>
      </w:r>
      <w:r>
        <w:rPr>
          <w:rFonts w:asciiTheme="minorEastAsia" w:eastAsiaTheme="minorEastAsia" w:hAnsi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hint="eastAsia"/>
          <w:i/>
          <w:iCs/>
          <w:sz w:val="24"/>
          <w:szCs w:val="24"/>
        </w:rPr>
        <w:t>oleic acid</w:t>
      </w:r>
      <w:r>
        <w:rPr>
          <w:rFonts w:asciiTheme="minorEastAsia" w:eastAsiaTheme="minorEastAsia" w:hAnsi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sz w:val="24"/>
          <w:szCs w:val="24"/>
        </w:rPr>
        <w:t>，即十八碳烯酸，是天然油脂中含一个双键的不饱和脂肪酸，也是脂肪酸中最重要的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一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烯酸，稳定性好，既易被人体所吸收，又不易氧化沉积于人体内，食用安全；临床医学资料表明油酸能阻止氧化自由基对人体血管及组织的危害，能选择性地降低冠状动脉疾病的危险因子——低密度脂蛋白胆固醇，抑制低密度脂蛋白氧化变性，而不抑制高密度脂蛋白胆固醇</w:t>
      </w:r>
      <w:r>
        <w:rPr>
          <w:rFonts w:asciiTheme="minorEastAsia" w:eastAsiaTheme="minorEastAsia" w:hAnsi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sz w:val="24"/>
          <w:szCs w:val="24"/>
        </w:rPr>
        <w:t>从而减少了心血管疾病的发生；油酸具有增进消化系统，促进骨骼和神经系统发育等保健功能，因而，油酸含量高的油脂被认为是高质量的油脂。</w:t>
      </w:r>
    </w:p>
    <w:p w14:paraId="1969C7F9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天然油酸主要以甘油酯的形式存在于植物的种子、果肉和动物的内脏、</w:t>
      </w:r>
      <w:r>
        <w:rPr>
          <w:rFonts w:asciiTheme="minorEastAsia" w:eastAsiaTheme="minorEastAsia" w:hAnsiTheme="minorEastAsia" w:hint="eastAsia"/>
          <w:sz w:val="24"/>
          <w:szCs w:val="24"/>
        </w:rPr>
        <w:t>皮下蜂窝组织中。油酸是重要的油脂精细化工产品</w:t>
      </w:r>
      <w:r>
        <w:rPr>
          <w:rFonts w:asciiTheme="minorEastAsia" w:eastAsiaTheme="minorEastAsia" w:hAnsi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sz w:val="24"/>
          <w:szCs w:val="24"/>
        </w:rPr>
        <w:t>广泛应用于化工分析、有机合成和药物制备等方面；普通油酸作为重要的化工原料，被用于石油、纺织、油墨、树脂、涂料、日化、食品、化妆品、皮革和金属加工业等行业。国内髙纯度油酸的产量较低，大多依赖进口。尽管国内油酸产量逐年增加，但其进口量依然逐年增长。针对这种情况，国内的油酸企业需要进行深化改革，加大技术开发力度，改善生产工艺，降低成本，提高质量，才能参与国际竞争。</w:t>
      </w:r>
    </w:p>
    <w:p w14:paraId="0A295515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随着油酸生产技术的发展，以及国家和消费者对油酸食品安全要求的提高，对油酸国标进行制订是非常必要的。</w:t>
      </w:r>
    </w:p>
    <w:p w14:paraId="6EB1ADE4" w14:textId="77777777" w:rsidR="00170C9C" w:rsidRDefault="00D83256">
      <w:pPr>
        <w:spacing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工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作简况</w:t>
      </w:r>
    </w:p>
    <w:p w14:paraId="3168E490" w14:textId="77777777" w:rsidR="00170C9C" w:rsidRDefault="00D83256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2.1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任务来源</w:t>
      </w:r>
    </w:p>
    <w:p w14:paraId="20152EF9" w14:textId="38D807EB" w:rsidR="00170C9C" w:rsidRPr="0098455D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8455D">
        <w:rPr>
          <w:rFonts w:asciiTheme="minorEastAsia" w:eastAsiaTheme="minorEastAsia" w:hAnsiTheme="minorEastAsia" w:hint="eastAsia"/>
          <w:sz w:val="24"/>
          <w:szCs w:val="24"/>
        </w:rPr>
        <w:t>本</w:t>
      </w:r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项目根据</w:t>
      </w:r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中国粮油学会等2021年第一批团体标准</w:t>
      </w:r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制修订计划</w:t>
      </w:r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（中</w:t>
      </w:r>
      <w:proofErr w:type="gramStart"/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粮油学发</w:t>
      </w:r>
      <w:proofErr w:type="gramEnd"/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〔2021〕43号）</w:t>
      </w:r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，主要参与单位有</w:t>
      </w:r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武汉轻工大学、江西省天玉油脂有限公司</w:t>
      </w:r>
      <w:r w:rsidR="0098455D" w:rsidRPr="0098455D">
        <w:rPr>
          <w:rFonts w:asciiTheme="minorEastAsia" w:eastAsiaTheme="minorEastAsia" w:hAnsiTheme="minorEastAsia" w:hint="eastAsia"/>
          <w:sz w:val="24"/>
          <w:szCs w:val="24"/>
        </w:rPr>
        <w:t>、湖北省现代农业有限公司。</w:t>
      </w:r>
    </w:p>
    <w:p w14:paraId="67B7C4F2" w14:textId="77777777" w:rsidR="00170C9C" w:rsidRDefault="00D83256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2.2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工作过程</w:t>
      </w:r>
    </w:p>
    <w:p w14:paraId="100B647D" w14:textId="6324244F" w:rsidR="00170C9C" w:rsidRDefault="00175B9A">
      <w:pPr>
        <w:adjustRightInd w:val="0"/>
        <w:snapToGrid w:val="0"/>
        <w:spacing w:line="360" w:lineRule="auto"/>
        <w:ind w:firstLineChars="200" w:firstLine="480"/>
        <w:rPr>
          <w:kern w:val="0"/>
          <w:sz w:val="24"/>
        </w:rPr>
      </w:pPr>
      <w:r>
        <w:rPr>
          <w:rFonts w:hAnsi="宋体" w:hint="eastAsia"/>
          <w:kern w:val="0"/>
          <w:sz w:val="24"/>
        </w:rPr>
        <w:t>主要</w:t>
      </w:r>
      <w:r w:rsidR="00D83256">
        <w:rPr>
          <w:rFonts w:hAnsi="宋体"/>
          <w:kern w:val="0"/>
          <w:sz w:val="24"/>
        </w:rPr>
        <w:t>工作</w:t>
      </w:r>
      <w:r>
        <w:rPr>
          <w:rFonts w:hAnsi="宋体" w:hint="eastAsia"/>
          <w:kern w:val="0"/>
          <w:sz w:val="24"/>
        </w:rPr>
        <w:t>过</w:t>
      </w:r>
      <w:r w:rsidR="00D83256">
        <w:rPr>
          <w:rFonts w:hAnsi="宋体"/>
          <w:kern w:val="0"/>
          <w:sz w:val="24"/>
        </w:rPr>
        <w:t>程为：</w:t>
      </w:r>
    </w:p>
    <w:p w14:paraId="201ACA75" w14:textId="77777777" w:rsidR="00170C9C" w:rsidRDefault="00D83256">
      <w:pPr>
        <w:adjustRightInd w:val="0"/>
        <w:snapToGrid w:val="0"/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/>
          <w:kern w:val="0"/>
          <w:sz w:val="24"/>
        </w:rPr>
        <w:t>1.</w:t>
      </w:r>
      <w:r>
        <w:rPr>
          <w:rFonts w:hAnsi="宋体"/>
          <w:kern w:val="0"/>
          <w:sz w:val="24"/>
        </w:rPr>
        <w:t>查阅收集国内外相关标准及公开发表的文献等技术资料。</w:t>
      </w:r>
    </w:p>
    <w:p w14:paraId="3ED5A313" w14:textId="77777777" w:rsidR="00170C9C" w:rsidRDefault="00D83256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/>
          <w:kern w:val="0"/>
          <w:sz w:val="24"/>
        </w:rPr>
        <w:t>2</w:t>
      </w:r>
      <w:r>
        <w:rPr>
          <w:rFonts w:hAnsi="宋体" w:hint="eastAsia"/>
          <w:kern w:val="0"/>
          <w:sz w:val="24"/>
        </w:rPr>
        <w:t>.</w:t>
      </w:r>
      <w:r>
        <w:rPr>
          <w:rFonts w:hAnsi="宋体"/>
          <w:kern w:val="0"/>
          <w:sz w:val="24"/>
        </w:rPr>
        <w:t>赴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生产企业进行调研，了解和熟悉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的生产工艺、产品质量状况。</w:t>
      </w:r>
    </w:p>
    <w:p w14:paraId="24DDEF10" w14:textId="77777777" w:rsidR="00170C9C" w:rsidRDefault="00D83256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/>
          <w:kern w:val="0"/>
          <w:sz w:val="24"/>
        </w:rPr>
        <w:t>3.</w:t>
      </w:r>
      <w:r>
        <w:rPr>
          <w:rFonts w:hAnsi="宋体"/>
          <w:kern w:val="0"/>
          <w:sz w:val="24"/>
        </w:rPr>
        <w:t>收集国内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样品。</w:t>
      </w:r>
    </w:p>
    <w:p w14:paraId="71290683" w14:textId="77777777" w:rsidR="00170C9C" w:rsidRDefault="00D83256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kern w:val="0"/>
          <w:sz w:val="24"/>
        </w:rPr>
        <w:t>4</w:t>
      </w:r>
      <w:r>
        <w:rPr>
          <w:rFonts w:hAnsi="宋体" w:hint="eastAsia"/>
          <w:kern w:val="0"/>
          <w:sz w:val="24"/>
        </w:rPr>
        <w:t>.</w:t>
      </w:r>
      <w:r>
        <w:rPr>
          <w:rFonts w:hAnsi="宋体"/>
          <w:kern w:val="0"/>
          <w:sz w:val="24"/>
        </w:rPr>
        <w:t>采用</w:t>
      </w:r>
      <w:r>
        <w:rPr>
          <w:rFonts w:hAnsi="宋体" w:hint="eastAsia"/>
          <w:kern w:val="0"/>
          <w:sz w:val="24"/>
        </w:rPr>
        <w:t>不同方式制备</w:t>
      </w:r>
      <w:r>
        <w:rPr>
          <w:rFonts w:hAnsi="宋体" w:hint="eastAsia"/>
          <w:kern w:val="0"/>
          <w:sz w:val="24"/>
        </w:rPr>
        <w:t>油酸样品</w:t>
      </w:r>
      <w:r>
        <w:rPr>
          <w:rFonts w:hAnsi="宋体"/>
          <w:kern w:val="0"/>
          <w:sz w:val="24"/>
        </w:rPr>
        <w:t>，对特征指标</w:t>
      </w:r>
      <w:r>
        <w:rPr>
          <w:rFonts w:hAnsi="宋体" w:hint="eastAsia"/>
          <w:kern w:val="0"/>
          <w:sz w:val="24"/>
        </w:rPr>
        <w:t>酸值、过氧化值、挥发物、皂化</w:t>
      </w:r>
      <w:r>
        <w:rPr>
          <w:rFonts w:hAnsi="宋体" w:hint="eastAsia"/>
          <w:kern w:val="0"/>
          <w:sz w:val="24"/>
        </w:rPr>
        <w:lastRenderedPageBreak/>
        <w:t>值、杂质、残溶、色泽等理化指标测定</w:t>
      </w:r>
      <w:r>
        <w:rPr>
          <w:rFonts w:hAnsi="宋体" w:hint="eastAsia"/>
          <w:kern w:val="0"/>
          <w:sz w:val="24"/>
        </w:rPr>
        <w:t>。</w:t>
      </w:r>
    </w:p>
    <w:p w14:paraId="4DEBB74A" w14:textId="77777777" w:rsidR="00170C9C" w:rsidRDefault="00D83256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kern w:val="0"/>
          <w:sz w:val="24"/>
        </w:rPr>
        <w:t>5</w:t>
      </w:r>
      <w:r>
        <w:rPr>
          <w:rFonts w:hAnsi="宋体" w:hint="eastAsia"/>
          <w:kern w:val="0"/>
          <w:sz w:val="24"/>
        </w:rPr>
        <w:t>.</w:t>
      </w:r>
      <w:r>
        <w:rPr>
          <w:rFonts w:hAnsi="宋体"/>
          <w:kern w:val="0"/>
          <w:sz w:val="24"/>
        </w:rPr>
        <w:t>根据收集到的相关地方标准和技术资料，结合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的生产实际以及样品分析检测数据，根据</w:t>
      </w:r>
      <w:r>
        <w:rPr>
          <w:kern w:val="0"/>
          <w:sz w:val="24"/>
        </w:rPr>
        <w:t>GB/T1.1-20</w:t>
      </w:r>
      <w:r>
        <w:rPr>
          <w:rFonts w:hint="eastAsia"/>
          <w:kern w:val="0"/>
          <w:sz w:val="24"/>
        </w:rPr>
        <w:t>20</w:t>
      </w:r>
      <w:r>
        <w:rPr>
          <w:rFonts w:hAnsi="宋体"/>
          <w:kern w:val="0"/>
          <w:sz w:val="24"/>
        </w:rPr>
        <w:t>等标准编制的要求，参照国家相关食品质量安全的标准，确定标准的相关内容、理化和食品安全要求，编制《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》</w:t>
      </w:r>
      <w:r>
        <w:rPr>
          <w:rFonts w:hAnsi="宋体" w:hint="eastAsia"/>
          <w:kern w:val="0"/>
          <w:sz w:val="24"/>
        </w:rPr>
        <w:t>团体</w:t>
      </w:r>
      <w:r>
        <w:rPr>
          <w:rFonts w:hAnsi="宋体"/>
          <w:kern w:val="0"/>
          <w:sz w:val="24"/>
        </w:rPr>
        <w:t>标准征求意见稿。</w:t>
      </w:r>
    </w:p>
    <w:p w14:paraId="66E37AB5" w14:textId="77777777" w:rsidR="00170C9C" w:rsidRDefault="00D83256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6.</w:t>
      </w:r>
      <w:r>
        <w:rPr>
          <w:rFonts w:hint="eastAsia"/>
          <w:kern w:val="0"/>
          <w:sz w:val="24"/>
        </w:rPr>
        <w:t>征集各企业专家对《</w:t>
      </w:r>
      <w:r>
        <w:rPr>
          <w:rFonts w:hAnsi="宋体"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》团体标准征求意见稿的建议，修改编制《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》团体标准的送审稿。</w:t>
      </w:r>
    </w:p>
    <w:p w14:paraId="3FE75004" w14:textId="77777777" w:rsidR="00170C9C" w:rsidRDefault="00D83256">
      <w:pPr>
        <w:adjustRightInd w:val="0"/>
        <w:snapToGrid w:val="0"/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7</w:t>
      </w:r>
      <w:r>
        <w:rPr>
          <w:kern w:val="0"/>
          <w:sz w:val="24"/>
        </w:rPr>
        <w:t>.</w:t>
      </w:r>
      <w:r>
        <w:rPr>
          <w:rFonts w:hint="eastAsia"/>
          <w:kern w:val="0"/>
          <w:sz w:val="24"/>
        </w:rPr>
        <w:t>参加全国粮油标准化技术委员会，由到会专家审核，根据专家对《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》团体标准送审稿提出的修改意见，编写《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》团体标准的报批稿。</w:t>
      </w:r>
    </w:p>
    <w:p w14:paraId="27F57043" w14:textId="77777777" w:rsidR="00170C9C" w:rsidRDefault="00D83256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b/>
          <w:kern w:val="0"/>
          <w:sz w:val="24"/>
        </w:rPr>
      </w:pPr>
      <w:r>
        <w:rPr>
          <w:rFonts w:ascii="黑体" w:eastAsia="黑体" w:hAnsi="黑体" w:hint="eastAsia"/>
          <w:b/>
          <w:kern w:val="0"/>
          <w:sz w:val="24"/>
        </w:rPr>
        <w:t>三</w:t>
      </w:r>
      <w:r>
        <w:rPr>
          <w:rFonts w:ascii="黑体" w:eastAsia="黑体" w:hAnsi="黑体"/>
          <w:b/>
          <w:kern w:val="0"/>
          <w:sz w:val="24"/>
        </w:rPr>
        <w:t>、编制原则</w:t>
      </w:r>
    </w:p>
    <w:p w14:paraId="0DE086C5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hAnsi="宋体"/>
          <w:kern w:val="0"/>
          <w:sz w:val="24"/>
        </w:rPr>
        <w:t>严格按照</w:t>
      </w:r>
      <w:r>
        <w:rPr>
          <w:kern w:val="0"/>
          <w:sz w:val="24"/>
        </w:rPr>
        <w:t>GB/T1.1-20</w:t>
      </w:r>
      <w:r>
        <w:rPr>
          <w:rFonts w:hint="eastAsia"/>
          <w:kern w:val="0"/>
          <w:sz w:val="24"/>
        </w:rPr>
        <w:t>20</w:t>
      </w:r>
      <w:r>
        <w:rPr>
          <w:rFonts w:hAnsi="宋体"/>
          <w:kern w:val="0"/>
          <w:sz w:val="24"/>
        </w:rPr>
        <w:t>《标准化工作导则第一部分：标准的结构和编写规则》及</w:t>
      </w:r>
      <w:r>
        <w:rPr>
          <w:kern w:val="0"/>
          <w:sz w:val="24"/>
        </w:rPr>
        <w:t>GB/T1.1-20</w:t>
      </w:r>
      <w:r>
        <w:rPr>
          <w:rFonts w:hint="eastAsia"/>
          <w:kern w:val="0"/>
          <w:sz w:val="24"/>
        </w:rPr>
        <w:t>20</w:t>
      </w:r>
      <w:r>
        <w:rPr>
          <w:rFonts w:hAnsi="宋体"/>
          <w:kern w:val="0"/>
          <w:sz w:val="24"/>
        </w:rPr>
        <w:t>《标准化工作导则第二部分：标准中规范性技术要素内容的确定方法》的编写要求，根据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 w:hint="eastAsia"/>
          <w:kern w:val="0"/>
          <w:sz w:val="24"/>
        </w:rPr>
        <w:t>的</w:t>
      </w:r>
      <w:r>
        <w:rPr>
          <w:rFonts w:hAnsi="宋体"/>
          <w:kern w:val="0"/>
          <w:sz w:val="24"/>
        </w:rPr>
        <w:t>特点</w:t>
      </w:r>
      <w:r>
        <w:rPr>
          <w:rFonts w:hAnsi="宋体" w:hint="eastAsia"/>
          <w:kern w:val="0"/>
          <w:sz w:val="24"/>
        </w:rPr>
        <w:t>，</w:t>
      </w:r>
      <w:r>
        <w:rPr>
          <w:rFonts w:hAnsi="宋体"/>
          <w:kern w:val="0"/>
          <w:sz w:val="24"/>
        </w:rPr>
        <w:t>以及国家对食品质量安全的要求，</w:t>
      </w:r>
      <w:r>
        <w:rPr>
          <w:rFonts w:hAnsi="宋体"/>
          <w:color w:val="000000"/>
          <w:kern w:val="0"/>
          <w:sz w:val="24"/>
        </w:rPr>
        <w:t>参照同类产品有关标准</w:t>
      </w:r>
      <w:r>
        <w:rPr>
          <w:rFonts w:hAnsi="宋体"/>
          <w:kern w:val="0"/>
          <w:sz w:val="24"/>
        </w:rPr>
        <w:t>，结合国内市场上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 w:hint="eastAsia"/>
          <w:kern w:val="0"/>
          <w:sz w:val="24"/>
        </w:rPr>
        <w:t>及产品</w:t>
      </w:r>
      <w:r>
        <w:rPr>
          <w:rFonts w:hAnsi="宋体"/>
          <w:kern w:val="0"/>
          <w:sz w:val="24"/>
        </w:rPr>
        <w:t>的质量安全状况，充分征求各方的意见，确定标准主要</w:t>
      </w:r>
      <w:r>
        <w:rPr>
          <w:rFonts w:hAnsi="宋体" w:hint="eastAsia"/>
          <w:kern w:val="0"/>
          <w:sz w:val="24"/>
        </w:rPr>
        <w:t>质量</w:t>
      </w:r>
      <w:r>
        <w:rPr>
          <w:rFonts w:hAnsi="宋体"/>
          <w:kern w:val="0"/>
          <w:sz w:val="24"/>
        </w:rPr>
        <w:t>指标，确保标准具有科学性、先进性、针对性、适用性和可操作性，达到指导</w:t>
      </w:r>
      <w:r>
        <w:rPr>
          <w:rFonts w:hint="eastAsia"/>
          <w:kern w:val="0"/>
          <w:sz w:val="24"/>
        </w:rPr>
        <w:t>“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”</w:t>
      </w:r>
      <w:r>
        <w:rPr>
          <w:rFonts w:hAnsi="宋体"/>
          <w:kern w:val="0"/>
          <w:sz w:val="24"/>
        </w:rPr>
        <w:t>的生产加工，提高产品质量安全水平，保护消费者利益，扩大市场需求的目的。本标准编制遵循的原则是：既要有利于规范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的生产、销售，提高产品质量，保障生产者、经营者和消费者各方的利益，又要有利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产业的可持续发展及对内外贸易</w:t>
      </w:r>
      <w:r>
        <w:rPr>
          <w:rFonts w:hAnsi="宋体"/>
          <w:kern w:val="0"/>
          <w:sz w:val="24"/>
        </w:rPr>
        <w:t>，具有较强的市场适应性。</w:t>
      </w:r>
      <w:r>
        <w:rPr>
          <w:rFonts w:asciiTheme="minorEastAsia" w:eastAsiaTheme="minorEastAsia" w:hAnsiTheme="minorEastAsia" w:hint="eastAsia"/>
          <w:sz w:val="24"/>
          <w:szCs w:val="24"/>
        </w:rPr>
        <w:t>本文件的制定，符合我国油酸产品的质量状况，符合政府质检、工商等质量监督部门的监管技术水平，同时还要兼顾与其他食用植物油产品的协调。</w:t>
      </w:r>
    </w:p>
    <w:p w14:paraId="799EF187" w14:textId="77777777" w:rsidR="00170C9C" w:rsidRDefault="00D83256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b/>
          <w:kern w:val="0"/>
          <w:sz w:val="24"/>
        </w:rPr>
      </w:pPr>
      <w:r>
        <w:rPr>
          <w:rFonts w:ascii="黑体" w:eastAsia="黑体" w:hAnsi="黑体" w:hint="eastAsia"/>
          <w:b/>
          <w:kern w:val="0"/>
          <w:sz w:val="24"/>
        </w:rPr>
        <w:t>四</w:t>
      </w:r>
      <w:r>
        <w:rPr>
          <w:rFonts w:ascii="黑体" w:eastAsia="黑体" w:hAnsi="黑体"/>
          <w:b/>
          <w:kern w:val="0"/>
          <w:sz w:val="24"/>
        </w:rPr>
        <w:t>、主要内容的论据</w:t>
      </w:r>
    </w:p>
    <w:p w14:paraId="61A4D090" w14:textId="77777777" w:rsidR="00170C9C" w:rsidRDefault="00D83256">
      <w:pPr>
        <w:spacing w:line="360" w:lineRule="auto"/>
        <w:ind w:firstLineChars="196" w:firstLine="472"/>
        <w:rPr>
          <w:b/>
          <w:kern w:val="0"/>
          <w:sz w:val="24"/>
        </w:rPr>
      </w:pPr>
      <w:r>
        <w:rPr>
          <w:b/>
          <w:kern w:val="0"/>
          <w:sz w:val="24"/>
        </w:rPr>
        <w:t>1</w:t>
      </w:r>
      <w:r>
        <w:rPr>
          <w:rFonts w:hAnsi="宋体" w:hint="eastAsia"/>
          <w:b/>
          <w:kern w:val="0"/>
          <w:sz w:val="24"/>
        </w:rPr>
        <w:t>.</w:t>
      </w:r>
      <w:r>
        <w:rPr>
          <w:rFonts w:hAnsi="宋体"/>
          <w:b/>
          <w:kern w:val="0"/>
          <w:sz w:val="24"/>
        </w:rPr>
        <w:t>本标准的主要内容</w:t>
      </w:r>
    </w:p>
    <w:p w14:paraId="0AE1FC5B" w14:textId="77777777" w:rsidR="00170C9C" w:rsidRDefault="00D83256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/>
          <w:kern w:val="0"/>
          <w:sz w:val="24"/>
        </w:rPr>
        <w:t>本标准根据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的原料及加工方法，在采集大量样品检测数据和调研资料的基础上研究确定了定义、质量指标项目和指标值。</w:t>
      </w:r>
    </w:p>
    <w:p w14:paraId="1A9AF2F2" w14:textId="77777777" w:rsidR="00170C9C" w:rsidRDefault="00D83256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油酸</w:t>
      </w:r>
      <w:r>
        <w:rPr>
          <w:rFonts w:hAnsi="宋体"/>
          <w:kern w:val="0"/>
          <w:sz w:val="24"/>
        </w:rPr>
        <w:t>团体标准为推荐性标准，其主要内容包括：</w:t>
      </w:r>
    </w:p>
    <w:p w14:paraId="4566F71E" w14:textId="77777777" w:rsidR="00170C9C" w:rsidRDefault="00D83256">
      <w:pPr>
        <w:numPr>
          <w:ilvl w:val="0"/>
          <w:numId w:val="1"/>
        </w:numPr>
        <w:spacing w:line="360" w:lineRule="auto"/>
        <w:rPr>
          <w:kern w:val="0"/>
          <w:sz w:val="24"/>
        </w:rPr>
      </w:pPr>
      <w:r>
        <w:rPr>
          <w:rFonts w:hAnsi="宋体"/>
          <w:kern w:val="0"/>
          <w:sz w:val="24"/>
        </w:rPr>
        <w:t>封面</w:t>
      </w:r>
    </w:p>
    <w:p w14:paraId="1A232580" w14:textId="77777777" w:rsidR="00170C9C" w:rsidRDefault="00D83256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按国标对封面的格式要求编写。</w:t>
      </w:r>
    </w:p>
    <w:p w14:paraId="51624CAE" w14:textId="77777777" w:rsidR="00170C9C" w:rsidRDefault="00D83256">
      <w:pPr>
        <w:numPr>
          <w:ilvl w:val="0"/>
          <w:numId w:val="1"/>
        </w:numPr>
        <w:spacing w:line="360" w:lineRule="auto"/>
        <w:rPr>
          <w:kern w:val="0"/>
          <w:sz w:val="24"/>
        </w:rPr>
      </w:pPr>
      <w:r>
        <w:rPr>
          <w:rFonts w:hAnsi="宋体"/>
          <w:kern w:val="0"/>
          <w:sz w:val="24"/>
        </w:rPr>
        <w:t>前言</w:t>
      </w:r>
    </w:p>
    <w:p w14:paraId="43249D5B" w14:textId="77777777" w:rsidR="00170C9C" w:rsidRDefault="00D83256">
      <w:pPr>
        <w:spacing w:line="360" w:lineRule="auto"/>
        <w:ind w:firstLineChars="200" w:firstLine="480"/>
        <w:rPr>
          <w:rFonts w:hAnsi="宋体"/>
          <w:color w:val="000000"/>
          <w:kern w:val="0"/>
          <w:sz w:val="24"/>
        </w:rPr>
      </w:pPr>
      <w:r>
        <w:rPr>
          <w:rFonts w:hAnsi="宋体" w:hint="eastAsia"/>
          <w:color w:val="000000"/>
          <w:kern w:val="0"/>
          <w:sz w:val="24"/>
        </w:rPr>
        <w:lastRenderedPageBreak/>
        <w:t>按国标规定的格式编写。前言表明</w:t>
      </w:r>
      <w:r>
        <w:rPr>
          <w:rFonts w:ascii="宋体" w:hAnsi="宋体" w:hint="eastAsia"/>
          <w:color w:val="000000"/>
          <w:kern w:val="0"/>
          <w:sz w:val="24"/>
        </w:rPr>
        <w:t>，①</w:t>
      </w:r>
      <w:r>
        <w:rPr>
          <w:rFonts w:hAnsi="宋体" w:hint="eastAsia"/>
          <w:color w:val="000000"/>
          <w:kern w:val="0"/>
          <w:sz w:val="24"/>
        </w:rPr>
        <w:t>本标准的提出单位为中国粮油学会</w:t>
      </w:r>
      <w:r>
        <w:rPr>
          <w:rFonts w:ascii="宋体" w:hAnsi="宋体" w:hint="eastAsia"/>
          <w:color w:val="000000"/>
          <w:kern w:val="0"/>
          <w:sz w:val="24"/>
        </w:rPr>
        <w:t>；②</w:t>
      </w:r>
      <w:r>
        <w:rPr>
          <w:rFonts w:hAnsi="宋体" w:hint="eastAsia"/>
          <w:color w:val="000000"/>
          <w:kern w:val="0"/>
          <w:sz w:val="24"/>
        </w:rPr>
        <w:t>本标准的归口单位为全国粮油标准化技术委员会</w:t>
      </w:r>
      <w:r>
        <w:rPr>
          <w:rFonts w:ascii="宋体" w:hAnsi="宋体" w:hint="eastAsia"/>
          <w:color w:val="000000"/>
          <w:kern w:val="0"/>
          <w:sz w:val="24"/>
        </w:rPr>
        <w:t>；③</w:t>
      </w:r>
      <w:r>
        <w:rPr>
          <w:rFonts w:hAnsi="宋体" w:hint="eastAsia"/>
          <w:color w:val="000000"/>
          <w:kern w:val="0"/>
          <w:sz w:val="24"/>
        </w:rPr>
        <w:t>本标准的起草单位为武汉轻工大学</w:t>
      </w:r>
    </w:p>
    <w:p w14:paraId="6EB58658" w14:textId="77777777" w:rsidR="00170C9C" w:rsidRDefault="00D83256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3</w:t>
      </w:r>
      <w:r>
        <w:rPr>
          <w:rFonts w:hAnsi="宋体" w:hint="eastAsia"/>
          <w:kern w:val="0"/>
          <w:sz w:val="24"/>
        </w:rPr>
        <w:t>）</w:t>
      </w:r>
      <w:r>
        <w:rPr>
          <w:rFonts w:hAnsi="宋体"/>
          <w:kern w:val="0"/>
          <w:sz w:val="24"/>
        </w:rPr>
        <w:t>标准主体内容：范围、规范性引用文件、术语和定义、质量要求、检验</w:t>
      </w:r>
      <w:r>
        <w:rPr>
          <w:rFonts w:hAnsi="宋体" w:hint="eastAsia"/>
          <w:kern w:val="0"/>
          <w:sz w:val="24"/>
        </w:rPr>
        <w:t>方法</w:t>
      </w:r>
      <w:r>
        <w:rPr>
          <w:rFonts w:hAnsi="宋体"/>
          <w:kern w:val="0"/>
          <w:sz w:val="24"/>
        </w:rPr>
        <w:t>、检验</w:t>
      </w:r>
      <w:r>
        <w:rPr>
          <w:rFonts w:hAnsi="宋体" w:hint="eastAsia"/>
          <w:kern w:val="0"/>
          <w:sz w:val="24"/>
        </w:rPr>
        <w:t>规则</w:t>
      </w:r>
      <w:r>
        <w:rPr>
          <w:rFonts w:hAnsi="宋体"/>
          <w:kern w:val="0"/>
          <w:sz w:val="24"/>
        </w:rPr>
        <w:t>、标签和标识、包装、储存和运输。</w:t>
      </w:r>
    </w:p>
    <w:p w14:paraId="44EFD973" w14:textId="77777777" w:rsidR="00170C9C" w:rsidRDefault="00D83256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3.2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确定国家标准主要内容的论据</w:t>
      </w:r>
    </w:p>
    <w:p w14:paraId="4075F7CE" w14:textId="77777777" w:rsidR="00170C9C" w:rsidRDefault="00D83256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本文件的主要内容是按照根据</w:t>
      </w:r>
      <w:r>
        <w:rPr>
          <w:rFonts w:ascii="Times New Roman" w:eastAsiaTheme="minorEastAsia" w:hAnsi="Times New Roman"/>
          <w:sz w:val="24"/>
          <w:szCs w:val="24"/>
        </w:rPr>
        <w:t>GB/T 1.1-2020</w:t>
      </w:r>
      <w:r>
        <w:rPr>
          <w:rFonts w:asciiTheme="minorEastAsia" w:eastAsiaTheme="minorEastAsia" w:hAnsiTheme="minorEastAsia" w:hint="eastAsia"/>
          <w:sz w:val="24"/>
          <w:szCs w:val="24"/>
        </w:rPr>
        <w:t>《标准化工作导则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部分：标准化文件的结构和起草规则》的规定确定的。</w:t>
      </w:r>
    </w:p>
    <w:p w14:paraId="08B06A50" w14:textId="77777777" w:rsidR="00170C9C" w:rsidRDefault="00D83256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本文件的主要内容有范围、规范性应用文件、术语和定义、质量要求、检验方法、检验规则、标签标识、包装、存储和运输。</w:t>
      </w:r>
    </w:p>
    <w:p w14:paraId="72EB35AF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本文件根据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油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酸的生产及加工方法，在采集大量样品检测数据和调研资料的基础上研究确定了定义、感官指标、质量指标和食品安全指标等。</w:t>
      </w:r>
    </w:p>
    <w:p w14:paraId="4477645F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《油酸》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标准为推荐性标准，其主要内容包括：</w:t>
      </w:r>
    </w:p>
    <w:p w14:paraId="33527CA2" w14:textId="77777777" w:rsidR="00170C9C" w:rsidRDefault="00D83256">
      <w:pPr>
        <w:spacing w:line="360" w:lineRule="auto"/>
        <w:ind w:firstLineChars="200" w:firstLine="482"/>
        <w:rPr>
          <w:rFonts w:hAnsi="宋体"/>
          <w:b/>
          <w:kern w:val="0"/>
          <w:sz w:val="24"/>
        </w:rPr>
      </w:pPr>
      <w:r>
        <w:rPr>
          <w:rFonts w:hAnsi="宋体" w:hint="eastAsia"/>
          <w:b/>
          <w:kern w:val="0"/>
          <w:sz w:val="24"/>
        </w:rPr>
        <w:t>2</w:t>
      </w:r>
      <w:r>
        <w:rPr>
          <w:rFonts w:hAnsi="宋体"/>
          <w:b/>
          <w:kern w:val="0"/>
          <w:sz w:val="24"/>
        </w:rPr>
        <w:t>.</w:t>
      </w:r>
      <w:r>
        <w:rPr>
          <w:rFonts w:hAnsi="宋体" w:hint="eastAsia"/>
          <w:b/>
          <w:kern w:val="0"/>
          <w:sz w:val="24"/>
        </w:rPr>
        <w:t>有关适用范围</w:t>
      </w:r>
    </w:p>
    <w:p w14:paraId="7E8430CF" w14:textId="77777777" w:rsidR="00170C9C" w:rsidRDefault="00D83256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本标准适用于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 w:hint="eastAsia"/>
          <w:kern w:val="0"/>
          <w:sz w:val="24"/>
        </w:rPr>
        <w:t>商品贸易。</w:t>
      </w:r>
    </w:p>
    <w:p w14:paraId="30516CDC" w14:textId="77777777" w:rsidR="00170C9C" w:rsidRDefault="00D83256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本标准的质量指标仅适用于以</w:t>
      </w:r>
      <w:r>
        <w:rPr>
          <w:rFonts w:hAnsi="宋体" w:hint="eastAsia"/>
          <w:kern w:val="0"/>
          <w:sz w:val="24"/>
        </w:rPr>
        <w:t>油酸</w:t>
      </w:r>
      <w:r>
        <w:rPr>
          <w:rFonts w:hAnsi="宋体" w:hint="eastAsia"/>
          <w:kern w:val="0"/>
          <w:sz w:val="24"/>
        </w:rPr>
        <w:t>为原料的贸易。</w:t>
      </w:r>
    </w:p>
    <w:p w14:paraId="3ECA10E9" w14:textId="77777777" w:rsidR="00170C9C" w:rsidRDefault="00D83256">
      <w:pPr>
        <w:tabs>
          <w:tab w:val="left" w:pos="5059"/>
        </w:tabs>
        <w:spacing w:line="360" w:lineRule="auto"/>
        <w:ind w:firstLineChars="196" w:firstLine="472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3</w:t>
      </w:r>
      <w:r>
        <w:rPr>
          <w:b/>
          <w:kern w:val="0"/>
          <w:sz w:val="24"/>
        </w:rPr>
        <w:t>.</w:t>
      </w:r>
      <w:r>
        <w:rPr>
          <w:rFonts w:hint="eastAsia"/>
          <w:b/>
          <w:kern w:val="0"/>
          <w:sz w:val="24"/>
        </w:rPr>
        <w:t>有关规范性应用文件</w:t>
      </w:r>
    </w:p>
    <w:p w14:paraId="68F77E14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规范性引用文件采用最新颁布的相关国家标准。包括：</w:t>
      </w:r>
    </w:p>
    <w:p w14:paraId="79ACB162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GB 5009.229 </w:t>
      </w:r>
      <w:r>
        <w:rPr>
          <w:rFonts w:hint="eastAsia"/>
          <w:kern w:val="0"/>
          <w:sz w:val="24"/>
        </w:rPr>
        <w:t>食品安全国家标准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食品中酸价的测定</w:t>
      </w:r>
    </w:p>
    <w:p w14:paraId="711E00EC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GB 5009.227 </w:t>
      </w:r>
      <w:r>
        <w:rPr>
          <w:rFonts w:hint="eastAsia"/>
          <w:kern w:val="0"/>
          <w:sz w:val="24"/>
        </w:rPr>
        <w:t>食品安全国家标准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食品中过氧化值的测定</w:t>
      </w:r>
    </w:p>
    <w:p w14:paraId="2716558C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GB/T 5534</w:t>
      </w:r>
      <w:r>
        <w:rPr>
          <w:rFonts w:hint="eastAsia"/>
          <w:kern w:val="0"/>
          <w:sz w:val="24"/>
        </w:rPr>
        <w:t xml:space="preserve">   </w:t>
      </w:r>
      <w:r>
        <w:rPr>
          <w:rFonts w:hint="eastAsia"/>
          <w:kern w:val="0"/>
          <w:sz w:val="24"/>
        </w:rPr>
        <w:t>动植物油脂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皂化值的测定</w:t>
      </w:r>
    </w:p>
    <w:p w14:paraId="1EDCA06C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GB/T 10247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粘度测量方法</w:t>
      </w:r>
    </w:p>
    <w:p w14:paraId="11030A6E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GB/T 553</w:t>
      </w:r>
      <w:r>
        <w:rPr>
          <w:rFonts w:hint="eastAsia"/>
          <w:kern w:val="0"/>
          <w:sz w:val="24"/>
        </w:rPr>
        <w:t xml:space="preserve">2  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动植物油脂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碘值的测定</w:t>
      </w:r>
    </w:p>
    <w:p w14:paraId="3CB3E478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GB 6488</w:t>
      </w:r>
      <w:r>
        <w:rPr>
          <w:rFonts w:hint="eastAsia"/>
          <w:kern w:val="0"/>
          <w:sz w:val="24"/>
        </w:rPr>
        <w:t xml:space="preserve">    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液体化工产品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折光率的测定（</w:t>
      </w:r>
      <w:r>
        <w:rPr>
          <w:rFonts w:hint="eastAsia"/>
          <w:kern w:val="0"/>
          <w:sz w:val="24"/>
        </w:rPr>
        <w:t>20</w:t>
      </w:r>
      <w:r>
        <w:rPr>
          <w:rFonts w:hint="eastAsia"/>
          <w:kern w:val="0"/>
          <w:sz w:val="24"/>
        </w:rPr>
        <w:t>℃）</w:t>
      </w:r>
    </w:p>
    <w:p w14:paraId="5C50A682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GB 5009.3</w:t>
      </w:r>
      <w:r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食品安全国家标准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食品中水分的测定</w:t>
      </w:r>
    </w:p>
    <w:p w14:paraId="1D10BE0B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GB/T 5525</w:t>
      </w:r>
      <w:r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植物油脂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透明度、气味、滋味鉴定法</w:t>
      </w:r>
    </w:p>
    <w:p w14:paraId="2657664B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GB/T 5518</w:t>
      </w:r>
      <w:r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粮油检验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粮食、油料相对密度的测定</w:t>
      </w:r>
    </w:p>
    <w:p w14:paraId="01FC0ADD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GB/T 191 </w:t>
      </w:r>
      <w:r>
        <w:rPr>
          <w:rFonts w:hint="eastAsia"/>
          <w:kern w:val="0"/>
          <w:sz w:val="24"/>
        </w:rPr>
        <w:t xml:space="preserve">   </w:t>
      </w:r>
      <w:r>
        <w:rPr>
          <w:rFonts w:hint="eastAsia"/>
          <w:kern w:val="0"/>
          <w:sz w:val="24"/>
        </w:rPr>
        <w:t>包装储运图示标志</w:t>
      </w:r>
    </w:p>
    <w:p w14:paraId="3D397BEE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>GB 50</w:t>
      </w:r>
      <w:r>
        <w:rPr>
          <w:rFonts w:hint="eastAsia"/>
          <w:kern w:val="0"/>
          <w:sz w:val="24"/>
        </w:rPr>
        <w:t xml:space="preserve">09.236 </w:t>
      </w:r>
      <w:r>
        <w:rPr>
          <w:rFonts w:hint="eastAsia"/>
          <w:kern w:val="0"/>
          <w:sz w:val="24"/>
        </w:rPr>
        <w:t>食品安全国家标准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动植物油脂水分及挥发物的测定</w:t>
      </w:r>
    </w:p>
    <w:p w14:paraId="6154236A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lastRenderedPageBreak/>
        <w:t xml:space="preserve">GB 5009.262 </w:t>
      </w:r>
      <w:r>
        <w:rPr>
          <w:rFonts w:hint="eastAsia"/>
          <w:kern w:val="0"/>
          <w:sz w:val="24"/>
        </w:rPr>
        <w:t>食品安全国家标准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食品中溶剂残留量的测定</w:t>
      </w:r>
    </w:p>
    <w:p w14:paraId="73DF9510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GB 7718 </w:t>
      </w:r>
      <w:r>
        <w:rPr>
          <w:rFonts w:hint="eastAsia"/>
          <w:kern w:val="0"/>
          <w:sz w:val="24"/>
        </w:rPr>
        <w:t xml:space="preserve">    </w:t>
      </w:r>
      <w:r>
        <w:rPr>
          <w:rFonts w:hint="eastAsia"/>
          <w:kern w:val="0"/>
          <w:sz w:val="24"/>
        </w:rPr>
        <w:t>食品安全国家标准</w:t>
      </w:r>
      <w:r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24"/>
        </w:rPr>
        <w:t>预包装食品标签通则</w:t>
      </w:r>
    </w:p>
    <w:p w14:paraId="636674CE" w14:textId="77777777" w:rsidR="00170C9C" w:rsidRDefault="00D83256">
      <w:pPr>
        <w:tabs>
          <w:tab w:val="left" w:pos="5059"/>
        </w:tabs>
        <w:spacing w:line="360" w:lineRule="auto"/>
        <w:ind w:firstLineChars="196" w:firstLine="47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GB 28050 </w:t>
      </w:r>
      <w:r>
        <w:rPr>
          <w:rFonts w:hint="eastAsia"/>
          <w:kern w:val="0"/>
          <w:sz w:val="24"/>
        </w:rPr>
        <w:t xml:space="preserve">   </w:t>
      </w:r>
      <w:r>
        <w:rPr>
          <w:rFonts w:hint="eastAsia"/>
          <w:kern w:val="0"/>
          <w:sz w:val="24"/>
        </w:rPr>
        <w:t>食品安全国家标准</w:t>
      </w:r>
      <w:r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24"/>
        </w:rPr>
        <w:t>预包装食品营养标签通则</w:t>
      </w:r>
    </w:p>
    <w:p w14:paraId="6C9BF58C" w14:textId="77777777" w:rsidR="00170C9C" w:rsidRDefault="00170C9C">
      <w:pPr>
        <w:autoSpaceDE w:val="0"/>
        <w:autoSpaceDN w:val="0"/>
        <w:adjustRightInd w:val="0"/>
        <w:spacing w:line="360" w:lineRule="auto"/>
        <w:ind w:rightChars="218" w:right="458" w:firstLineChars="150" w:firstLine="360"/>
        <w:rPr>
          <w:rFonts w:asciiTheme="minorEastAsia" w:eastAsiaTheme="minorEastAsia" w:hAnsiTheme="minorEastAsia"/>
          <w:kern w:val="0"/>
          <w:sz w:val="24"/>
          <w:szCs w:val="24"/>
        </w:rPr>
      </w:pPr>
    </w:p>
    <w:p w14:paraId="3627FF96" w14:textId="77777777" w:rsidR="00170C9C" w:rsidRDefault="00D83256">
      <w:pPr>
        <w:spacing w:line="360" w:lineRule="auto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3.3</w:t>
      </w:r>
      <w:r>
        <w:rPr>
          <w:rFonts w:asciiTheme="minorEastAsia" w:eastAsiaTheme="minorEastAsia" w:hAnsiTheme="minorEastAsia"/>
          <w:b/>
          <w:kern w:val="0"/>
          <w:sz w:val="24"/>
          <w:szCs w:val="24"/>
        </w:rPr>
        <w:t>关于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油</w:t>
      </w:r>
      <w:r>
        <w:rPr>
          <w:rFonts w:asciiTheme="minorEastAsia" w:eastAsiaTheme="minorEastAsia" w:hAnsiTheme="minorEastAsia"/>
          <w:b/>
          <w:kern w:val="0"/>
          <w:sz w:val="24"/>
          <w:szCs w:val="24"/>
        </w:rPr>
        <w:t>酸的术语和定义</w:t>
      </w:r>
    </w:p>
    <w:p w14:paraId="3784DD8F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本标准的术语和定义参照了</w:t>
      </w:r>
      <w:r>
        <w:rPr>
          <w:rFonts w:ascii="Times New Roman" w:eastAsiaTheme="minorEastAsia" w:hAnsi="Times New Roman"/>
          <w:kern w:val="0"/>
          <w:sz w:val="24"/>
          <w:szCs w:val="24"/>
        </w:rPr>
        <w:t>GB/T 8873-2008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《粮油名词术语</w:t>
      </w:r>
      <w:r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油脂工业》、</w:t>
      </w:r>
      <w:r>
        <w:rPr>
          <w:rFonts w:ascii="Times New Roman" w:eastAsiaTheme="minorEastAsia" w:hAnsi="Times New Roman"/>
          <w:kern w:val="0"/>
          <w:sz w:val="24"/>
          <w:szCs w:val="24"/>
        </w:rPr>
        <w:t xml:space="preserve">GB/T </w:t>
      </w:r>
      <w:r>
        <w:rPr>
          <w:rFonts w:ascii="Times New Roman" w:eastAsiaTheme="minorEastAsia" w:hAnsi="Times New Roman"/>
          <w:sz w:val="24"/>
          <w:szCs w:val="24"/>
        </w:rPr>
        <w:t>26631-2011</w:t>
      </w:r>
      <w:r>
        <w:rPr>
          <w:rFonts w:asciiTheme="minorEastAsia" w:eastAsiaTheme="minorEastAsia" w:hAnsiTheme="minorEastAsia"/>
          <w:sz w:val="24"/>
          <w:szCs w:val="24"/>
        </w:rPr>
        <w:t>《粮油名词术语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>理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化特性和质量》，同时参照国际食品法典委员会</w:t>
      </w:r>
      <w:r>
        <w:rPr>
          <w:rFonts w:ascii="Times New Roman" w:eastAsiaTheme="minorEastAsia" w:hAnsi="Times New Roman"/>
          <w:kern w:val="0"/>
          <w:sz w:val="24"/>
          <w:szCs w:val="24"/>
        </w:rPr>
        <w:t>CODEX-STAN 210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《指定的植物油法典标准》，以及</w:t>
      </w:r>
      <w:r>
        <w:rPr>
          <w:rFonts w:asciiTheme="minorEastAsia" w:eastAsiaTheme="minorEastAsia" w:hAnsiTheme="minorEastAsia"/>
          <w:sz w:val="24"/>
          <w:szCs w:val="24"/>
        </w:rPr>
        <w:t>《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粮食大辞典》、</w:t>
      </w:r>
      <w:r>
        <w:rPr>
          <w:rFonts w:asciiTheme="minorEastAsia" w:eastAsiaTheme="minorEastAsia" w:hAnsiTheme="minorEastAsia"/>
          <w:sz w:val="24"/>
          <w:szCs w:val="24"/>
        </w:rPr>
        <w:t>《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贝雷油脂化学与工艺学》等。</w:t>
      </w:r>
    </w:p>
    <w:p w14:paraId="7F347609" w14:textId="77777777" w:rsidR="00170C9C" w:rsidRDefault="00D8325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按照</w:t>
      </w:r>
      <w:r>
        <w:rPr>
          <w:rFonts w:ascii="Times New Roman" w:eastAsiaTheme="minorEastAsia" w:hAnsi="Times New Roman"/>
          <w:kern w:val="0"/>
          <w:sz w:val="24"/>
          <w:szCs w:val="24"/>
        </w:rPr>
        <w:t>GB/T 2009.1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“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标准编写规则第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部分：术语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”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中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4.4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的规定，制定术语标准的目的是获得一种标准化的术语集，其中概念和术语一一对应，以避免歧义和误解。因此，根据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油酸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产品的特性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，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故将此类产品定义为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“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油酸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”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14:paraId="1AA1353A" w14:textId="77777777" w:rsidR="00170C9C" w:rsidRDefault="00D83256">
      <w:pPr>
        <w:autoSpaceDE w:val="0"/>
        <w:autoSpaceDN w:val="0"/>
        <w:adjustRightInd w:val="0"/>
        <w:spacing w:line="360" w:lineRule="auto"/>
        <w:ind w:rightChars="218" w:right="458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3.4 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油</w:t>
      </w:r>
      <w:r>
        <w:rPr>
          <w:rFonts w:asciiTheme="minorEastAsia" w:eastAsiaTheme="minorEastAsia" w:hAnsiTheme="minorEastAsia"/>
          <w:b/>
          <w:kern w:val="0"/>
          <w:sz w:val="24"/>
          <w:szCs w:val="24"/>
        </w:rPr>
        <w:t>酸的质量要求</w:t>
      </w:r>
    </w:p>
    <w:p w14:paraId="3583B296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根据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油酸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产品的特点并参照其他食用植物油的标准，本文件主要质量要求包括质量指标和其他，其中质量指标包括：透明度、色泽、气味、水分、酸值、过氧化值、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碘值、皂化值、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溶剂残留量等。</w:t>
      </w:r>
    </w:p>
    <w:p w14:paraId="1866E708" w14:textId="77777777" w:rsidR="00170C9C" w:rsidRDefault="00D83256">
      <w:pPr>
        <w:autoSpaceDE w:val="0"/>
        <w:autoSpaceDN w:val="0"/>
        <w:adjustRightInd w:val="0"/>
        <w:spacing w:line="360" w:lineRule="auto"/>
        <w:ind w:rightChars="218" w:right="458"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3.4</w:t>
      </w:r>
      <w:r>
        <w:rPr>
          <w:rFonts w:asciiTheme="minorEastAsia" w:eastAsiaTheme="minorEastAsia" w:hAnsiTheme="minorEastAsia"/>
          <w:kern w:val="0"/>
          <w:sz w:val="24"/>
          <w:szCs w:val="24"/>
        </w:rPr>
        <w:t xml:space="preserve">.1 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质量指标的确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立</w:t>
      </w:r>
    </w:p>
    <w:p w14:paraId="3EB9DCC6" w14:textId="77777777" w:rsidR="00170C9C" w:rsidRDefault="00D83256">
      <w:pPr>
        <w:autoSpaceDE w:val="0"/>
        <w:autoSpaceDN w:val="0"/>
        <w:adjustRightInd w:val="0"/>
        <w:spacing w:line="360" w:lineRule="auto"/>
        <w:ind w:rightChars="218" w:right="458"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根据实际样品检测结果、国内外公开发表的文献报道来确立主要质量指标。</w:t>
      </w:r>
    </w:p>
    <w:p w14:paraId="7B575A9D" w14:textId="77777777" w:rsidR="00170C9C" w:rsidRDefault="00D83256">
      <w:pPr>
        <w:autoSpaceDE w:val="0"/>
        <w:autoSpaceDN w:val="0"/>
        <w:adjustRightInd w:val="0"/>
        <w:spacing w:line="360" w:lineRule="auto"/>
        <w:ind w:rightChars="218" w:right="458"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3.4.2</w:t>
      </w:r>
      <w:r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收集样品主要质量指标检测结果</w:t>
      </w:r>
    </w:p>
    <w:p w14:paraId="613C2C33" w14:textId="77777777" w:rsidR="00170C9C" w:rsidRDefault="00D83256">
      <w:pPr>
        <w:spacing w:line="360" w:lineRule="auto"/>
        <w:ind w:rightChars="218" w:right="458"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hint="eastAsia"/>
          <w:kern w:val="0"/>
          <w:sz w:val="24"/>
        </w:rPr>
        <w:t>本标准起草工作组对我国市场上销售的</w:t>
      </w:r>
      <w:r>
        <w:rPr>
          <w:rFonts w:hint="eastAsia"/>
          <w:kern w:val="0"/>
          <w:sz w:val="24"/>
        </w:rPr>
        <w:t>油酸产品</w:t>
      </w:r>
      <w:r>
        <w:rPr>
          <w:rFonts w:hint="eastAsia"/>
          <w:kern w:val="0"/>
          <w:sz w:val="24"/>
        </w:rPr>
        <w:t>进行了调查收集，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目前共收集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个不同单位地区的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油酸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样品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，</w:t>
      </w:r>
      <w:r>
        <w:rPr>
          <w:rFonts w:hint="eastAsia"/>
          <w:kern w:val="0"/>
          <w:sz w:val="24"/>
        </w:rPr>
        <w:t>检测结果如表</w:t>
      </w:r>
      <w:r>
        <w:rPr>
          <w:rFonts w:hint="eastAsia"/>
          <w:kern w:val="0"/>
          <w:sz w:val="24"/>
        </w:rPr>
        <w:t>1</w:t>
      </w:r>
      <w:r>
        <w:rPr>
          <w:rFonts w:hint="eastAsia"/>
          <w:kern w:val="0"/>
          <w:sz w:val="24"/>
        </w:rPr>
        <w:t>所示。</w:t>
      </w:r>
    </w:p>
    <w:p w14:paraId="5C788169" w14:textId="77777777" w:rsidR="00170C9C" w:rsidRDefault="00170C9C">
      <w:pPr>
        <w:spacing w:line="360" w:lineRule="auto"/>
        <w:ind w:rightChars="218" w:right="458"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</w:p>
    <w:p w14:paraId="16096DAB" w14:textId="77777777" w:rsidR="00170C9C" w:rsidRDefault="00D83256">
      <w:pPr>
        <w:autoSpaceDE w:val="0"/>
        <w:autoSpaceDN w:val="0"/>
        <w:adjustRightInd w:val="0"/>
        <w:spacing w:line="360" w:lineRule="auto"/>
        <w:ind w:rightChars="218" w:right="458"/>
        <w:jc w:val="center"/>
        <w:rPr>
          <w:rFonts w:asciiTheme="minorEastAsia" w:eastAsiaTheme="minorEastAsia" w:hAnsiTheme="minorEastAsia"/>
          <w:b/>
          <w:bCs/>
          <w:kern w:val="0"/>
          <w:szCs w:val="21"/>
        </w:rPr>
      </w:pPr>
      <w:r>
        <w:rPr>
          <w:rFonts w:asciiTheme="minorEastAsia" w:eastAsiaTheme="minorEastAsia" w:hAnsiTheme="minorEastAsia"/>
          <w:b/>
          <w:bCs/>
          <w:kern w:val="0"/>
          <w:szCs w:val="21"/>
        </w:rPr>
        <w:t>表</w:t>
      </w:r>
      <w:r>
        <w:rPr>
          <w:rFonts w:asciiTheme="minorEastAsia" w:eastAsiaTheme="minorEastAsia" w:hAnsiTheme="minorEastAsia"/>
          <w:b/>
          <w:bCs/>
          <w:kern w:val="0"/>
          <w:szCs w:val="21"/>
        </w:rPr>
        <w:t xml:space="preserve">1  </w:t>
      </w:r>
      <w:r>
        <w:rPr>
          <w:rFonts w:asciiTheme="minorEastAsia" w:eastAsiaTheme="minorEastAsia" w:hAnsiTheme="minorEastAsia"/>
          <w:b/>
          <w:bCs/>
          <w:kern w:val="0"/>
          <w:szCs w:val="21"/>
        </w:rPr>
        <w:t>样品质量指标检测结果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66"/>
        <w:gridCol w:w="928"/>
        <w:gridCol w:w="927"/>
        <w:gridCol w:w="927"/>
        <w:gridCol w:w="846"/>
        <w:gridCol w:w="927"/>
        <w:gridCol w:w="927"/>
        <w:gridCol w:w="927"/>
        <w:gridCol w:w="847"/>
      </w:tblGrid>
      <w:tr w:rsidR="00170C9C" w14:paraId="02ED6855" w14:textId="77777777">
        <w:trPr>
          <w:jc w:val="center"/>
        </w:trPr>
        <w:tc>
          <w:tcPr>
            <w:tcW w:w="1266" w:type="dxa"/>
          </w:tcPr>
          <w:p w14:paraId="02C0E868" w14:textId="77777777" w:rsidR="00170C9C" w:rsidRDefault="00D83256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检测项目</w:t>
            </w:r>
          </w:p>
        </w:tc>
        <w:tc>
          <w:tcPr>
            <w:tcW w:w="928" w:type="dxa"/>
          </w:tcPr>
          <w:p w14:paraId="3DA0827F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样品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1</w:t>
            </w:r>
          </w:p>
        </w:tc>
        <w:tc>
          <w:tcPr>
            <w:tcW w:w="927" w:type="dxa"/>
          </w:tcPr>
          <w:p w14:paraId="51BB1C2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样品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2</w:t>
            </w:r>
          </w:p>
        </w:tc>
        <w:tc>
          <w:tcPr>
            <w:tcW w:w="927" w:type="dxa"/>
          </w:tcPr>
          <w:p w14:paraId="1232EE3D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样品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3</w:t>
            </w:r>
          </w:p>
        </w:tc>
        <w:tc>
          <w:tcPr>
            <w:tcW w:w="846" w:type="dxa"/>
          </w:tcPr>
          <w:p w14:paraId="46EA623E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样品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4</w:t>
            </w:r>
          </w:p>
        </w:tc>
        <w:tc>
          <w:tcPr>
            <w:tcW w:w="927" w:type="dxa"/>
          </w:tcPr>
          <w:p w14:paraId="28C7B453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样品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5</w:t>
            </w:r>
          </w:p>
        </w:tc>
        <w:tc>
          <w:tcPr>
            <w:tcW w:w="927" w:type="dxa"/>
          </w:tcPr>
          <w:p w14:paraId="105D98CA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样品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6</w:t>
            </w:r>
          </w:p>
        </w:tc>
        <w:tc>
          <w:tcPr>
            <w:tcW w:w="927" w:type="dxa"/>
          </w:tcPr>
          <w:p w14:paraId="71BB3F8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样品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7</w:t>
            </w:r>
          </w:p>
        </w:tc>
        <w:tc>
          <w:tcPr>
            <w:tcW w:w="847" w:type="dxa"/>
          </w:tcPr>
          <w:p w14:paraId="3781A03F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样品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8</w:t>
            </w:r>
          </w:p>
        </w:tc>
      </w:tr>
      <w:tr w:rsidR="00170C9C" w14:paraId="5E23DE65" w14:textId="77777777">
        <w:trPr>
          <w:trHeight w:val="564"/>
          <w:jc w:val="center"/>
        </w:trPr>
        <w:tc>
          <w:tcPr>
            <w:tcW w:w="1266" w:type="dxa"/>
            <w:vAlign w:val="center"/>
          </w:tcPr>
          <w:p w14:paraId="68C8376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油酸含量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/%</w:t>
            </w:r>
          </w:p>
        </w:tc>
        <w:tc>
          <w:tcPr>
            <w:tcW w:w="928" w:type="dxa"/>
          </w:tcPr>
          <w:p w14:paraId="64016E6A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96.4</w:t>
            </w:r>
          </w:p>
        </w:tc>
        <w:tc>
          <w:tcPr>
            <w:tcW w:w="927" w:type="dxa"/>
          </w:tcPr>
          <w:p w14:paraId="25F5B1C0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94.3</w:t>
            </w:r>
          </w:p>
        </w:tc>
        <w:tc>
          <w:tcPr>
            <w:tcW w:w="927" w:type="dxa"/>
          </w:tcPr>
          <w:p w14:paraId="5DB0D30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89.9</w:t>
            </w:r>
          </w:p>
        </w:tc>
        <w:tc>
          <w:tcPr>
            <w:tcW w:w="846" w:type="dxa"/>
          </w:tcPr>
          <w:p w14:paraId="639CFAA0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99.1</w:t>
            </w:r>
          </w:p>
        </w:tc>
        <w:tc>
          <w:tcPr>
            <w:tcW w:w="927" w:type="dxa"/>
          </w:tcPr>
          <w:p w14:paraId="1847BDB8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86.9</w:t>
            </w:r>
          </w:p>
        </w:tc>
        <w:tc>
          <w:tcPr>
            <w:tcW w:w="927" w:type="dxa"/>
          </w:tcPr>
          <w:p w14:paraId="1345FD6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83.5</w:t>
            </w:r>
          </w:p>
        </w:tc>
        <w:tc>
          <w:tcPr>
            <w:tcW w:w="927" w:type="dxa"/>
          </w:tcPr>
          <w:p w14:paraId="7F17562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92.6</w:t>
            </w:r>
          </w:p>
        </w:tc>
        <w:tc>
          <w:tcPr>
            <w:tcW w:w="847" w:type="dxa"/>
          </w:tcPr>
          <w:p w14:paraId="3D50C1B4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81.4</w:t>
            </w:r>
          </w:p>
        </w:tc>
      </w:tr>
      <w:tr w:rsidR="00170C9C" w14:paraId="43BB2ED9" w14:textId="77777777">
        <w:trPr>
          <w:trHeight w:val="564"/>
          <w:jc w:val="center"/>
        </w:trPr>
        <w:tc>
          <w:tcPr>
            <w:tcW w:w="1266" w:type="dxa"/>
            <w:vAlign w:val="center"/>
          </w:tcPr>
          <w:p w14:paraId="2117B7E3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bookmarkStart w:id="0" w:name="_Hlk92205434"/>
            <w:r>
              <w:rPr>
                <w:rFonts w:ascii="Times New Roman" w:eastAsiaTheme="minorEastAsia" w:hAnsi="Times New Roman"/>
                <w:kern w:val="0"/>
                <w:szCs w:val="21"/>
              </w:rPr>
              <w:t>色泽</w:t>
            </w:r>
          </w:p>
        </w:tc>
        <w:tc>
          <w:tcPr>
            <w:tcW w:w="928" w:type="dxa"/>
          </w:tcPr>
          <w:p w14:paraId="25F6483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  <w:tc>
          <w:tcPr>
            <w:tcW w:w="927" w:type="dxa"/>
          </w:tcPr>
          <w:p w14:paraId="743D747E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  <w:tc>
          <w:tcPr>
            <w:tcW w:w="927" w:type="dxa"/>
          </w:tcPr>
          <w:p w14:paraId="74AAF20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  <w:tc>
          <w:tcPr>
            <w:tcW w:w="846" w:type="dxa"/>
          </w:tcPr>
          <w:p w14:paraId="5D147BF7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  <w:tc>
          <w:tcPr>
            <w:tcW w:w="927" w:type="dxa"/>
          </w:tcPr>
          <w:p w14:paraId="75E4A930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  <w:tc>
          <w:tcPr>
            <w:tcW w:w="927" w:type="dxa"/>
          </w:tcPr>
          <w:p w14:paraId="603B9D4F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  <w:tc>
          <w:tcPr>
            <w:tcW w:w="927" w:type="dxa"/>
          </w:tcPr>
          <w:p w14:paraId="6A0EB7BD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  <w:tc>
          <w:tcPr>
            <w:tcW w:w="847" w:type="dxa"/>
          </w:tcPr>
          <w:p w14:paraId="51ABB7E8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</w:tr>
      <w:tr w:rsidR="00170C9C" w14:paraId="7221F025" w14:textId="77777777">
        <w:trPr>
          <w:jc w:val="center"/>
        </w:trPr>
        <w:tc>
          <w:tcPr>
            <w:tcW w:w="1266" w:type="dxa"/>
            <w:vAlign w:val="center"/>
          </w:tcPr>
          <w:p w14:paraId="7F01266D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气味、滋味</w:t>
            </w:r>
          </w:p>
        </w:tc>
        <w:tc>
          <w:tcPr>
            <w:tcW w:w="928" w:type="dxa"/>
          </w:tcPr>
          <w:p w14:paraId="6A2C1D8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  <w:tc>
          <w:tcPr>
            <w:tcW w:w="927" w:type="dxa"/>
          </w:tcPr>
          <w:p w14:paraId="3974CC1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  <w:tc>
          <w:tcPr>
            <w:tcW w:w="927" w:type="dxa"/>
          </w:tcPr>
          <w:p w14:paraId="50C622E3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  <w:tc>
          <w:tcPr>
            <w:tcW w:w="846" w:type="dxa"/>
          </w:tcPr>
          <w:p w14:paraId="5C352F76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  <w:tc>
          <w:tcPr>
            <w:tcW w:w="927" w:type="dxa"/>
          </w:tcPr>
          <w:p w14:paraId="7F6AA944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  <w:tc>
          <w:tcPr>
            <w:tcW w:w="927" w:type="dxa"/>
          </w:tcPr>
          <w:p w14:paraId="39EC890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  <w:tc>
          <w:tcPr>
            <w:tcW w:w="927" w:type="dxa"/>
          </w:tcPr>
          <w:p w14:paraId="42514D46" w14:textId="77777777" w:rsidR="00170C9C" w:rsidRDefault="00D83256">
            <w:pPr>
              <w:widowControl/>
              <w:spacing w:beforeLines="50" w:before="156" w:line="240" w:lineRule="auto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  <w:tc>
          <w:tcPr>
            <w:tcW w:w="847" w:type="dxa"/>
          </w:tcPr>
          <w:p w14:paraId="440E42B5" w14:textId="77777777" w:rsidR="00170C9C" w:rsidRDefault="00D83256">
            <w:pPr>
              <w:widowControl/>
              <w:spacing w:beforeLines="50" w:before="156" w:line="240" w:lineRule="auto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</w:tr>
      <w:tr w:rsidR="00170C9C" w14:paraId="025C51AF" w14:textId="77777777">
        <w:trPr>
          <w:jc w:val="center"/>
        </w:trPr>
        <w:tc>
          <w:tcPr>
            <w:tcW w:w="1266" w:type="dxa"/>
            <w:vAlign w:val="center"/>
          </w:tcPr>
          <w:p w14:paraId="1B06A5D8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lastRenderedPageBreak/>
              <w:t>透明度（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40℃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）</w:t>
            </w:r>
          </w:p>
        </w:tc>
        <w:tc>
          <w:tcPr>
            <w:tcW w:w="928" w:type="dxa"/>
          </w:tcPr>
          <w:p w14:paraId="6915003F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  <w:tc>
          <w:tcPr>
            <w:tcW w:w="927" w:type="dxa"/>
          </w:tcPr>
          <w:p w14:paraId="65B7543D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  <w:tc>
          <w:tcPr>
            <w:tcW w:w="927" w:type="dxa"/>
          </w:tcPr>
          <w:p w14:paraId="4527A2D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  <w:tc>
          <w:tcPr>
            <w:tcW w:w="846" w:type="dxa"/>
          </w:tcPr>
          <w:p w14:paraId="1C9E1308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  <w:tc>
          <w:tcPr>
            <w:tcW w:w="927" w:type="dxa"/>
          </w:tcPr>
          <w:p w14:paraId="774CCAF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  <w:tc>
          <w:tcPr>
            <w:tcW w:w="927" w:type="dxa"/>
          </w:tcPr>
          <w:p w14:paraId="5813FE6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  <w:tc>
          <w:tcPr>
            <w:tcW w:w="927" w:type="dxa"/>
          </w:tcPr>
          <w:p w14:paraId="1213EC7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  <w:tc>
          <w:tcPr>
            <w:tcW w:w="847" w:type="dxa"/>
          </w:tcPr>
          <w:p w14:paraId="216387C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</w:tr>
      <w:tr w:rsidR="00170C9C" w14:paraId="7214F602" w14:textId="77777777">
        <w:trPr>
          <w:trHeight w:val="916"/>
          <w:jc w:val="center"/>
        </w:trPr>
        <w:tc>
          <w:tcPr>
            <w:tcW w:w="1266" w:type="dxa"/>
            <w:vAlign w:val="center"/>
          </w:tcPr>
          <w:p w14:paraId="2AB65422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碘值</w:t>
            </w:r>
            <w:r>
              <w:rPr>
                <w:rFonts w:ascii="Times New Roman" w:eastAsiaTheme="minorEastAsia" w:hAnsi="Times New Roman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>g/100g</w:t>
            </w:r>
            <w:r>
              <w:rPr>
                <w:rFonts w:ascii="Times New Roman" w:eastAsiaTheme="minorEastAsia" w:hAnsi="Times New Roman"/>
                <w:szCs w:val="21"/>
              </w:rPr>
              <w:t>）</w:t>
            </w:r>
          </w:p>
        </w:tc>
        <w:tc>
          <w:tcPr>
            <w:tcW w:w="928" w:type="dxa"/>
            <w:vAlign w:val="center"/>
          </w:tcPr>
          <w:p w14:paraId="2FC6609D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96.62</w:t>
            </w:r>
          </w:p>
        </w:tc>
        <w:tc>
          <w:tcPr>
            <w:tcW w:w="927" w:type="dxa"/>
            <w:vAlign w:val="center"/>
          </w:tcPr>
          <w:p w14:paraId="687543B8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97.68</w:t>
            </w:r>
          </w:p>
        </w:tc>
        <w:tc>
          <w:tcPr>
            <w:tcW w:w="927" w:type="dxa"/>
            <w:vAlign w:val="center"/>
          </w:tcPr>
          <w:p w14:paraId="75B3DE21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94.36</w:t>
            </w:r>
          </w:p>
        </w:tc>
        <w:tc>
          <w:tcPr>
            <w:tcW w:w="846" w:type="dxa"/>
            <w:vAlign w:val="center"/>
          </w:tcPr>
          <w:p w14:paraId="105D9499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94.58</w:t>
            </w:r>
          </w:p>
        </w:tc>
        <w:tc>
          <w:tcPr>
            <w:tcW w:w="927" w:type="dxa"/>
            <w:vAlign w:val="center"/>
          </w:tcPr>
          <w:p w14:paraId="711A67C1" w14:textId="77777777" w:rsidR="00170C9C" w:rsidRDefault="00D83256">
            <w:pPr>
              <w:widowControl/>
              <w:spacing w:line="60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95.68</w:t>
            </w:r>
          </w:p>
        </w:tc>
        <w:tc>
          <w:tcPr>
            <w:tcW w:w="927" w:type="dxa"/>
            <w:vAlign w:val="center"/>
          </w:tcPr>
          <w:p w14:paraId="1D0B3D78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95.64</w:t>
            </w:r>
          </w:p>
        </w:tc>
        <w:tc>
          <w:tcPr>
            <w:tcW w:w="927" w:type="dxa"/>
            <w:vAlign w:val="center"/>
          </w:tcPr>
          <w:p w14:paraId="5341DCDD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96.01</w:t>
            </w:r>
          </w:p>
        </w:tc>
        <w:tc>
          <w:tcPr>
            <w:tcW w:w="847" w:type="dxa"/>
            <w:vAlign w:val="center"/>
          </w:tcPr>
          <w:p w14:paraId="20C2F3F0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94.23</w:t>
            </w:r>
          </w:p>
        </w:tc>
      </w:tr>
      <w:tr w:rsidR="00170C9C" w14:paraId="635A723A" w14:textId="77777777">
        <w:trPr>
          <w:trHeight w:val="827"/>
          <w:jc w:val="center"/>
        </w:trPr>
        <w:tc>
          <w:tcPr>
            <w:tcW w:w="1266" w:type="dxa"/>
            <w:vAlign w:val="center"/>
          </w:tcPr>
          <w:p w14:paraId="292E90EE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水分及挥发物</w:t>
            </w:r>
            <w:r>
              <w:rPr>
                <w:rFonts w:ascii="Times New Roman" w:eastAsiaTheme="minorEastAsia" w:hAnsi="Times New Roman"/>
                <w:szCs w:val="21"/>
              </w:rPr>
              <w:t>/(%)</w:t>
            </w:r>
          </w:p>
        </w:tc>
        <w:tc>
          <w:tcPr>
            <w:tcW w:w="928" w:type="dxa"/>
            <w:vAlign w:val="center"/>
          </w:tcPr>
          <w:p w14:paraId="7A7ACB0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0.18</w:t>
            </w:r>
          </w:p>
        </w:tc>
        <w:tc>
          <w:tcPr>
            <w:tcW w:w="927" w:type="dxa"/>
            <w:vAlign w:val="center"/>
          </w:tcPr>
          <w:p w14:paraId="53CAEFAE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0.14</w:t>
            </w:r>
          </w:p>
        </w:tc>
        <w:tc>
          <w:tcPr>
            <w:tcW w:w="927" w:type="dxa"/>
            <w:vAlign w:val="center"/>
          </w:tcPr>
          <w:p w14:paraId="2B59CC0A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0.18</w:t>
            </w:r>
          </w:p>
        </w:tc>
        <w:tc>
          <w:tcPr>
            <w:tcW w:w="846" w:type="dxa"/>
            <w:vAlign w:val="center"/>
          </w:tcPr>
          <w:p w14:paraId="2EF56FB4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0.18</w:t>
            </w:r>
          </w:p>
        </w:tc>
        <w:tc>
          <w:tcPr>
            <w:tcW w:w="927" w:type="dxa"/>
            <w:vAlign w:val="center"/>
          </w:tcPr>
          <w:p w14:paraId="18CB1E97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20</w:t>
            </w:r>
          </w:p>
        </w:tc>
        <w:tc>
          <w:tcPr>
            <w:tcW w:w="927" w:type="dxa"/>
            <w:vAlign w:val="center"/>
          </w:tcPr>
          <w:p w14:paraId="4361444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0.16</w:t>
            </w:r>
          </w:p>
        </w:tc>
        <w:tc>
          <w:tcPr>
            <w:tcW w:w="927" w:type="dxa"/>
            <w:vAlign w:val="center"/>
          </w:tcPr>
          <w:p w14:paraId="0585EF5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0.15</w:t>
            </w:r>
          </w:p>
        </w:tc>
        <w:tc>
          <w:tcPr>
            <w:tcW w:w="847" w:type="dxa"/>
            <w:vAlign w:val="center"/>
          </w:tcPr>
          <w:p w14:paraId="7E3C1E1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0.16</w:t>
            </w:r>
          </w:p>
        </w:tc>
      </w:tr>
      <w:tr w:rsidR="00170C9C" w14:paraId="0870223E" w14:textId="77777777">
        <w:trPr>
          <w:jc w:val="center"/>
        </w:trPr>
        <w:tc>
          <w:tcPr>
            <w:tcW w:w="1266" w:type="dxa"/>
            <w:vAlign w:val="center"/>
          </w:tcPr>
          <w:p w14:paraId="1FDD053F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密度</w:t>
            </w:r>
            <w:r>
              <w:rPr>
                <w:rFonts w:ascii="Times New Roman" w:eastAsiaTheme="minorEastAsia" w:hAnsi="Times New Roman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>kg/m³</w:t>
            </w:r>
            <w:r>
              <w:rPr>
                <w:rFonts w:ascii="Times New Roman" w:eastAsiaTheme="minorEastAsia" w:hAnsi="Times New Roman"/>
                <w:szCs w:val="21"/>
              </w:rPr>
              <w:t>）</w:t>
            </w:r>
          </w:p>
        </w:tc>
        <w:tc>
          <w:tcPr>
            <w:tcW w:w="928" w:type="dxa"/>
            <w:vAlign w:val="center"/>
          </w:tcPr>
          <w:p w14:paraId="7D1F041F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891.20</w:t>
            </w:r>
          </w:p>
        </w:tc>
        <w:tc>
          <w:tcPr>
            <w:tcW w:w="927" w:type="dxa"/>
            <w:vAlign w:val="center"/>
          </w:tcPr>
          <w:p w14:paraId="29EE08F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894.50</w:t>
            </w:r>
          </w:p>
        </w:tc>
        <w:tc>
          <w:tcPr>
            <w:tcW w:w="927" w:type="dxa"/>
            <w:vAlign w:val="center"/>
          </w:tcPr>
          <w:p w14:paraId="2BDB586E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895.10</w:t>
            </w:r>
          </w:p>
        </w:tc>
        <w:tc>
          <w:tcPr>
            <w:tcW w:w="846" w:type="dxa"/>
            <w:vAlign w:val="center"/>
          </w:tcPr>
          <w:p w14:paraId="18DC463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894.4</w:t>
            </w:r>
          </w:p>
        </w:tc>
        <w:tc>
          <w:tcPr>
            <w:tcW w:w="927" w:type="dxa"/>
            <w:vAlign w:val="center"/>
          </w:tcPr>
          <w:p w14:paraId="557F303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892.5</w:t>
            </w:r>
          </w:p>
        </w:tc>
        <w:tc>
          <w:tcPr>
            <w:tcW w:w="927" w:type="dxa"/>
            <w:vAlign w:val="center"/>
          </w:tcPr>
          <w:p w14:paraId="0B6934E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893.4</w:t>
            </w:r>
          </w:p>
        </w:tc>
        <w:tc>
          <w:tcPr>
            <w:tcW w:w="927" w:type="dxa"/>
            <w:vAlign w:val="center"/>
          </w:tcPr>
          <w:p w14:paraId="5E1E4420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895.20</w:t>
            </w:r>
          </w:p>
        </w:tc>
        <w:tc>
          <w:tcPr>
            <w:tcW w:w="847" w:type="dxa"/>
            <w:vAlign w:val="center"/>
          </w:tcPr>
          <w:p w14:paraId="4A2855C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892.3</w:t>
            </w:r>
          </w:p>
        </w:tc>
      </w:tr>
      <w:tr w:rsidR="00170C9C" w14:paraId="02272698" w14:textId="77777777">
        <w:trPr>
          <w:jc w:val="center"/>
        </w:trPr>
        <w:tc>
          <w:tcPr>
            <w:tcW w:w="1266" w:type="dxa"/>
            <w:vAlign w:val="center"/>
          </w:tcPr>
          <w:p w14:paraId="50DE61AA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酸值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(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以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KOH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计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)/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mg/g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）</w:t>
            </w:r>
          </w:p>
        </w:tc>
        <w:tc>
          <w:tcPr>
            <w:tcW w:w="928" w:type="dxa"/>
            <w:vAlign w:val="center"/>
          </w:tcPr>
          <w:p w14:paraId="7E5598F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5.81</w:t>
            </w:r>
          </w:p>
        </w:tc>
        <w:tc>
          <w:tcPr>
            <w:tcW w:w="927" w:type="dxa"/>
            <w:vAlign w:val="center"/>
          </w:tcPr>
          <w:p w14:paraId="34DB00C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6.29</w:t>
            </w:r>
          </w:p>
        </w:tc>
        <w:tc>
          <w:tcPr>
            <w:tcW w:w="927" w:type="dxa"/>
            <w:vAlign w:val="center"/>
          </w:tcPr>
          <w:p w14:paraId="50B95DE8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14.7</w:t>
            </w:r>
          </w:p>
        </w:tc>
        <w:tc>
          <w:tcPr>
            <w:tcW w:w="846" w:type="dxa"/>
            <w:vAlign w:val="center"/>
          </w:tcPr>
          <w:p w14:paraId="72546D0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5.57</w:t>
            </w:r>
          </w:p>
        </w:tc>
        <w:tc>
          <w:tcPr>
            <w:tcW w:w="927" w:type="dxa"/>
            <w:vAlign w:val="center"/>
          </w:tcPr>
          <w:p w14:paraId="2BE7F7B8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7.17</w:t>
            </w:r>
          </w:p>
        </w:tc>
        <w:tc>
          <w:tcPr>
            <w:tcW w:w="927" w:type="dxa"/>
            <w:vAlign w:val="center"/>
          </w:tcPr>
          <w:p w14:paraId="7D1714A6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12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95</w:t>
            </w:r>
          </w:p>
        </w:tc>
        <w:tc>
          <w:tcPr>
            <w:tcW w:w="927" w:type="dxa"/>
            <w:vAlign w:val="center"/>
          </w:tcPr>
          <w:p w14:paraId="79801717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.9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5</w:t>
            </w:r>
          </w:p>
        </w:tc>
        <w:tc>
          <w:tcPr>
            <w:tcW w:w="847" w:type="dxa"/>
            <w:vAlign w:val="center"/>
          </w:tcPr>
          <w:p w14:paraId="4202D80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29.47</w:t>
            </w:r>
          </w:p>
        </w:tc>
      </w:tr>
      <w:tr w:rsidR="00170C9C" w14:paraId="6DE466E8" w14:textId="77777777">
        <w:trPr>
          <w:trHeight w:val="570"/>
          <w:jc w:val="center"/>
        </w:trPr>
        <w:tc>
          <w:tcPr>
            <w:tcW w:w="1266" w:type="dxa"/>
            <w:vAlign w:val="center"/>
          </w:tcPr>
          <w:p w14:paraId="33004DB7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过氧化值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/(g/100g)</w:t>
            </w:r>
          </w:p>
        </w:tc>
        <w:tc>
          <w:tcPr>
            <w:tcW w:w="928" w:type="dxa"/>
            <w:vAlign w:val="center"/>
          </w:tcPr>
          <w:p w14:paraId="2DB23DAD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05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.2</w:t>
            </w:r>
          </w:p>
        </w:tc>
        <w:tc>
          <w:tcPr>
            <w:tcW w:w="927" w:type="dxa"/>
            <w:vAlign w:val="center"/>
          </w:tcPr>
          <w:p w14:paraId="29F4D850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21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4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.1</w:t>
            </w:r>
          </w:p>
        </w:tc>
        <w:tc>
          <w:tcPr>
            <w:tcW w:w="927" w:type="dxa"/>
            <w:vAlign w:val="center"/>
          </w:tcPr>
          <w:p w14:paraId="311B2CF6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10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.3</w:t>
            </w:r>
          </w:p>
        </w:tc>
        <w:tc>
          <w:tcPr>
            <w:tcW w:w="846" w:type="dxa"/>
            <w:vAlign w:val="center"/>
          </w:tcPr>
          <w:p w14:paraId="7A98A02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21</w:t>
            </w:r>
            <w:r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.3</w:t>
            </w:r>
          </w:p>
        </w:tc>
        <w:tc>
          <w:tcPr>
            <w:tcW w:w="927" w:type="dxa"/>
            <w:vAlign w:val="center"/>
          </w:tcPr>
          <w:p w14:paraId="4C45AAC6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210.4</w:t>
            </w:r>
          </w:p>
        </w:tc>
        <w:tc>
          <w:tcPr>
            <w:tcW w:w="927" w:type="dxa"/>
            <w:vAlign w:val="center"/>
          </w:tcPr>
          <w:p w14:paraId="27B55243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08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 w14:paraId="7221902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11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.9</w:t>
            </w:r>
          </w:p>
        </w:tc>
        <w:tc>
          <w:tcPr>
            <w:tcW w:w="847" w:type="dxa"/>
            <w:vAlign w:val="center"/>
          </w:tcPr>
          <w:p w14:paraId="0CA3403F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21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5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.5</w:t>
            </w:r>
          </w:p>
        </w:tc>
      </w:tr>
      <w:tr w:rsidR="00170C9C" w14:paraId="5D7AC100" w14:textId="77777777">
        <w:trPr>
          <w:jc w:val="center"/>
        </w:trPr>
        <w:tc>
          <w:tcPr>
            <w:tcW w:w="1266" w:type="dxa"/>
            <w:vAlign w:val="center"/>
          </w:tcPr>
          <w:p w14:paraId="6E4CD10F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粘度（</w:t>
            </w:r>
            <w:proofErr w:type="spellStart"/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mPa·s</w:t>
            </w:r>
            <w:proofErr w:type="spellEnd"/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928" w:type="dxa"/>
            <w:vAlign w:val="center"/>
          </w:tcPr>
          <w:p w14:paraId="13FD132E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35.62</w:t>
            </w:r>
          </w:p>
        </w:tc>
        <w:tc>
          <w:tcPr>
            <w:tcW w:w="927" w:type="dxa"/>
            <w:vAlign w:val="center"/>
          </w:tcPr>
          <w:p w14:paraId="6ED58062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35.51</w:t>
            </w:r>
          </w:p>
        </w:tc>
        <w:tc>
          <w:tcPr>
            <w:tcW w:w="927" w:type="dxa"/>
            <w:vAlign w:val="center"/>
          </w:tcPr>
          <w:p w14:paraId="0FAB240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35.37</w:t>
            </w:r>
          </w:p>
        </w:tc>
        <w:tc>
          <w:tcPr>
            <w:tcW w:w="846" w:type="dxa"/>
            <w:vAlign w:val="center"/>
          </w:tcPr>
          <w:p w14:paraId="339277F6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35.74</w:t>
            </w:r>
          </w:p>
        </w:tc>
        <w:tc>
          <w:tcPr>
            <w:tcW w:w="927" w:type="dxa"/>
            <w:vAlign w:val="center"/>
          </w:tcPr>
          <w:p w14:paraId="1510FA87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35.11</w:t>
            </w:r>
          </w:p>
        </w:tc>
        <w:tc>
          <w:tcPr>
            <w:tcW w:w="927" w:type="dxa"/>
            <w:vAlign w:val="center"/>
          </w:tcPr>
          <w:p w14:paraId="4767BE92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34.61</w:t>
            </w:r>
          </w:p>
        </w:tc>
        <w:tc>
          <w:tcPr>
            <w:tcW w:w="927" w:type="dxa"/>
            <w:vAlign w:val="center"/>
          </w:tcPr>
          <w:p w14:paraId="7206C35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35.46</w:t>
            </w:r>
          </w:p>
        </w:tc>
        <w:tc>
          <w:tcPr>
            <w:tcW w:w="847" w:type="dxa"/>
            <w:vAlign w:val="center"/>
          </w:tcPr>
          <w:p w14:paraId="0881252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34.21</w:t>
            </w:r>
          </w:p>
        </w:tc>
      </w:tr>
      <w:tr w:rsidR="00170C9C" w14:paraId="4B9B0B88" w14:textId="77777777">
        <w:trPr>
          <w:jc w:val="center"/>
        </w:trPr>
        <w:tc>
          <w:tcPr>
            <w:tcW w:w="1266" w:type="dxa"/>
            <w:vAlign w:val="center"/>
          </w:tcPr>
          <w:p w14:paraId="494AFE8E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溶剂残留量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/(mg/kg)</w:t>
            </w:r>
          </w:p>
        </w:tc>
        <w:tc>
          <w:tcPr>
            <w:tcW w:w="928" w:type="dxa"/>
            <w:vAlign w:val="center"/>
          </w:tcPr>
          <w:p w14:paraId="5D147A7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  <w:tc>
          <w:tcPr>
            <w:tcW w:w="927" w:type="dxa"/>
            <w:vAlign w:val="center"/>
          </w:tcPr>
          <w:p w14:paraId="75AAB16B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  <w:tc>
          <w:tcPr>
            <w:tcW w:w="927" w:type="dxa"/>
            <w:vAlign w:val="center"/>
          </w:tcPr>
          <w:p w14:paraId="30654AB0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  <w:tc>
          <w:tcPr>
            <w:tcW w:w="846" w:type="dxa"/>
            <w:vAlign w:val="center"/>
          </w:tcPr>
          <w:p w14:paraId="38EEFC4F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  <w:tc>
          <w:tcPr>
            <w:tcW w:w="927" w:type="dxa"/>
            <w:vAlign w:val="center"/>
          </w:tcPr>
          <w:p w14:paraId="43522948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  <w:tc>
          <w:tcPr>
            <w:tcW w:w="927" w:type="dxa"/>
            <w:vAlign w:val="center"/>
          </w:tcPr>
          <w:p w14:paraId="42068D0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  <w:tc>
          <w:tcPr>
            <w:tcW w:w="927" w:type="dxa"/>
            <w:vAlign w:val="center"/>
          </w:tcPr>
          <w:p w14:paraId="105DA954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  <w:tc>
          <w:tcPr>
            <w:tcW w:w="847" w:type="dxa"/>
            <w:vAlign w:val="center"/>
          </w:tcPr>
          <w:p w14:paraId="7435B62E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</w:tr>
      <w:tr w:rsidR="00170C9C" w14:paraId="62C8EF9F" w14:textId="77777777">
        <w:trPr>
          <w:jc w:val="center"/>
        </w:trPr>
        <w:tc>
          <w:tcPr>
            <w:tcW w:w="1266" w:type="dxa"/>
            <w:vAlign w:val="center"/>
          </w:tcPr>
          <w:p w14:paraId="16162DF6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FF0000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皂化值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mg/g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）</w:t>
            </w:r>
          </w:p>
        </w:tc>
        <w:tc>
          <w:tcPr>
            <w:tcW w:w="928" w:type="dxa"/>
            <w:vAlign w:val="center"/>
          </w:tcPr>
          <w:p w14:paraId="6BEDE9C4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196.4</w:t>
            </w:r>
          </w:p>
        </w:tc>
        <w:tc>
          <w:tcPr>
            <w:tcW w:w="927" w:type="dxa"/>
            <w:vAlign w:val="center"/>
          </w:tcPr>
          <w:p w14:paraId="212DF546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196.6</w:t>
            </w:r>
          </w:p>
        </w:tc>
        <w:tc>
          <w:tcPr>
            <w:tcW w:w="927" w:type="dxa"/>
            <w:vAlign w:val="center"/>
          </w:tcPr>
          <w:p w14:paraId="7B2735A6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194.5</w:t>
            </w:r>
          </w:p>
        </w:tc>
        <w:tc>
          <w:tcPr>
            <w:tcW w:w="846" w:type="dxa"/>
            <w:vAlign w:val="center"/>
          </w:tcPr>
          <w:p w14:paraId="2A421C7D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195.6</w:t>
            </w:r>
          </w:p>
        </w:tc>
        <w:tc>
          <w:tcPr>
            <w:tcW w:w="927" w:type="dxa"/>
            <w:vAlign w:val="center"/>
          </w:tcPr>
          <w:p w14:paraId="454BB290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195.7</w:t>
            </w:r>
          </w:p>
        </w:tc>
        <w:tc>
          <w:tcPr>
            <w:tcW w:w="927" w:type="dxa"/>
            <w:vAlign w:val="center"/>
          </w:tcPr>
          <w:p w14:paraId="040E1F46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196.5</w:t>
            </w:r>
          </w:p>
        </w:tc>
        <w:tc>
          <w:tcPr>
            <w:tcW w:w="927" w:type="dxa"/>
            <w:vAlign w:val="center"/>
          </w:tcPr>
          <w:p w14:paraId="2CD2758E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195.4</w:t>
            </w:r>
          </w:p>
        </w:tc>
        <w:tc>
          <w:tcPr>
            <w:tcW w:w="847" w:type="dxa"/>
            <w:vAlign w:val="center"/>
          </w:tcPr>
          <w:p w14:paraId="20F49A1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195.6</w:t>
            </w:r>
          </w:p>
        </w:tc>
      </w:tr>
      <w:tr w:rsidR="00170C9C" w14:paraId="3A7591E3" w14:textId="77777777">
        <w:trPr>
          <w:jc w:val="center"/>
        </w:trPr>
        <w:tc>
          <w:tcPr>
            <w:tcW w:w="1266" w:type="dxa"/>
            <w:vAlign w:val="center"/>
          </w:tcPr>
          <w:p w14:paraId="519DA397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折光率</w:t>
            </w: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n</w:t>
            </w: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  <w:vertAlign w:val="superscript"/>
              </w:rPr>
              <w:t>20</w:t>
            </w: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  <w:vertAlign w:val="subscript"/>
              </w:rPr>
              <w:t>D</w:t>
            </w:r>
          </w:p>
        </w:tc>
        <w:tc>
          <w:tcPr>
            <w:tcW w:w="928" w:type="dxa"/>
            <w:vAlign w:val="center"/>
          </w:tcPr>
          <w:p w14:paraId="2799C93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1.4501</w:t>
            </w:r>
          </w:p>
        </w:tc>
        <w:tc>
          <w:tcPr>
            <w:tcW w:w="927" w:type="dxa"/>
            <w:vAlign w:val="center"/>
          </w:tcPr>
          <w:p w14:paraId="51C962BA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1.4510</w:t>
            </w:r>
          </w:p>
        </w:tc>
        <w:tc>
          <w:tcPr>
            <w:tcW w:w="927" w:type="dxa"/>
            <w:vAlign w:val="center"/>
          </w:tcPr>
          <w:p w14:paraId="35DD5D4D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1.4596</w:t>
            </w:r>
          </w:p>
        </w:tc>
        <w:tc>
          <w:tcPr>
            <w:tcW w:w="846" w:type="dxa"/>
            <w:vAlign w:val="center"/>
          </w:tcPr>
          <w:p w14:paraId="085123C0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1.4450</w:t>
            </w:r>
          </w:p>
        </w:tc>
        <w:tc>
          <w:tcPr>
            <w:tcW w:w="927" w:type="dxa"/>
            <w:vAlign w:val="center"/>
          </w:tcPr>
          <w:p w14:paraId="2BD528E2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1.4612</w:t>
            </w:r>
          </w:p>
        </w:tc>
        <w:tc>
          <w:tcPr>
            <w:tcW w:w="927" w:type="dxa"/>
            <w:vAlign w:val="center"/>
          </w:tcPr>
          <w:p w14:paraId="2B8E3F6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1.4762</w:t>
            </w:r>
          </w:p>
        </w:tc>
        <w:tc>
          <w:tcPr>
            <w:tcW w:w="927" w:type="dxa"/>
            <w:vAlign w:val="center"/>
          </w:tcPr>
          <w:p w14:paraId="0B23B322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1.4651</w:t>
            </w:r>
          </w:p>
        </w:tc>
        <w:tc>
          <w:tcPr>
            <w:tcW w:w="847" w:type="dxa"/>
            <w:vAlign w:val="center"/>
          </w:tcPr>
          <w:p w14:paraId="739BC8D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kern w:val="0"/>
                <w:szCs w:val="21"/>
              </w:rPr>
              <w:t>1.4791</w:t>
            </w:r>
          </w:p>
        </w:tc>
      </w:tr>
      <w:tr w:rsidR="00170C9C" w14:paraId="7CA01544" w14:textId="77777777">
        <w:trPr>
          <w:jc w:val="center"/>
        </w:trPr>
        <w:tc>
          <w:tcPr>
            <w:tcW w:w="1266" w:type="dxa"/>
            <w:vAlign w:val="center"/>
          </w:tcPr>
          <w:p w14:paraId="4B6A95F1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凝固点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/℃</w:t>
            </w:r>
          </w:p>
        </w:tc>
        <w:tc>
          <w:tcPr>
            <w:tcW w:w="928" w:type="dxa"/>
            <w:vAlign w:val="center"/>
          </w:tcPr>
          <w:p w14:paraId="53072EA5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11.2</w:t>
            </w:r>
          </w:p>
        </w:tc>
        <w:tc>
          <w:tcPr>
            <w:tcW w:w="927" w:type="dxa"/>
            <w:vAlign w:val="center"/>
          </w:tcPr>
          <w:p w14:paraId="55953F97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10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.7</w:t>
            </w:r>
          </w:p>
        </w:tc>
        <w:tc>
          <w:tcPr>
            <w:tcW w:w="927" w:type="dxa"/>
            <w:vAlign w:val="center"/>
          </w:tcPr>
          <w:p w14:paraId="59B560EA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9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.8</w:t>
            </w:r>
          </w:p>
        </w:tc>
        <w:tc>
          <w:tcPr>
            <w:tcW w:w="846" w:type="dxa"/>
            <w:vAlign w:val="center"/>
          </w:tcPr>
          <w:p w14:paraId="1E53E1C7" w14:textId="77777777" w:rsidR="00170C9C" w:rsidRDefault="00D83256">
            <w:pPr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12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.4</w:t>
            </w:r>
          </w:p>
        </w:tc>
        <w:tc>
          <w:tcPr>
            <w:tcW w:w="927" w:type="dxa"/>
            <w:vAlign w:val="center"/>
          </w:tcPr>
          <w:p w14:paraId="130950EF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8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.5</w:t>
            </w:r>
          </w:p>
        </w:tc>
        <w:tc>
          <w:tcPr>
            <w:tcW w:w="927" w:type="dxa"/>
            <w:vAlign w:val="center"/>
          </w:tcPr>
          <w:p w14:paraId="677298CB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.9</w:t>
            </w:r>
          </w:p>
        </w:tc>
        <w:tc>
          <w:tcPr>
            <w:tcW w:w="927" w:type="dxa"/>
            <w:vAlign w:val="center"/>
          </w:tcPr>
          <w:p w14:paraId="325C97E3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8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.9</w:t>
            </w:r>
          </w:p>
        </w:tc>
        <w:tc>
          <w:tcPr>
            <w:tcW w:w="847" w:type="dxa"/>
            <w:vAlign w:val="center"/>
          </w:tcPr>
          <w:p w14:paraId="253BA7C6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5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.2</w:t>
            </w:r>
          </w:p>
        </w:tc>
      </w:tr>
    </w:tbl>
    <w:bookmarkEnd w:id="0"/>
    <w:p w14:paraId="245CD6B4" w14:textId="77777777" w:rsidR="00170C9C" w:rsidRDefault="00D83256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检测结果显示，</w:t>
      </w:r>
      <w:r>
        <w:rPr>
          <w:rFonts w:hint="eastAsia"/>
          <w:kern w:val="0"/>
          <w:sz w:val="24"/>
        </w:rPr>
        <w:t xml:space="preserve"> </w:t>
      </w:r>
      <w:r>
        <w:rPr>
          <w:rFonts w:ascii="Times New Roman" w:hAnsi="Times New Roman"/>
          <w:kern w:val="0"/>
          <w:sz w:val="24"/>
        </w:rPr>
        <w:t>8</w:t>
      </w:r>
      <w:r>
        <w:rPr>
          <w:rFonts w:hint="eastAsia"/>
          <w:kern w:val="0"/>
          <w:sz w:val="24"/>
        </w:rPr>
        <w:t>个不同来源样品中的水分含量为</w:t>
      </w:r>
      <w:r>
        <w:rPr>
          <w:rFonts w:ascii="Times New Roman" w:hAnsi="Times New Roman"/>
          <w:kern w:val="0"/>
          <w:sz w:val="24"/>
        </w:rPr>
        <w:t>0.14</w:t>
      </w:r>
      <w:r>
        <w:rPr>
          <w:rFonts w:ascii="Times New Roman" w:hAnsi="Times New Roman"/>
          <w:kern w:val="0"/>
          <w:sz w:val="24"/>
        </w:rPr>
        <w:t>%</w:t>
      </w:r>
      <w:r>
        <w:rPr>
          <w:rFonts w:ascii="Times New Roman" w:hAnsi="Times New Roman"/>
          <w:kern w:val="0"/>
          <w:sz w:val="24"/>
        </w:rPr>
        <w:t>~0.20</w:t>
      </w:r>
      <w:r>
        <w:rPr>
          <w:rFonts w:ascii="Times New Roman" w:hAnsi="Times New Roman"/>
          <w:kern w:val="0"/>
          <w:sz w:val="24"/>
        </w:rPr>
        <w:t>%</w:t>
      </w:r>
      <w:r>
        <w:rPr>
          <w:rFonts w:hint="eastAsia"/>
          <w:kern w:val="0"/>
          <w:sz w:val="24"/>
        </w:rPr>
        <w:t>，平均含量为</w:t>
      </w:r>
      <w:r>
        <w:rPr>
          <w:rFonts w:hint="eastAsia"/>
          <w:kern w:val="0"/>
          <w:sz w:val="24"/>
        </w:rPr>
        <w:t>0.16</w:t>
      </w:r>
      <w:r>
        <w:rPr>
          <w:rFonts w:hint="eastAsia"/>
          <w:kern w:val="0"/>
          <w:sz w:val="24"/>
        </w:rPr>
        <w:t>%</w:t>
      </w: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n=</w:t>
      </w:r>
      <w:r>
        <w:rPr>
          <w:rFonts w:hint="eastAsia"/>
          <w:kern w:val="0"/>
          <w:sz w:val="24"/>
        </w:rPr>
        <w:t>8</w:t>
      </w:r>
      <w:r>
        <w:rPr>
          <w:rFonts w:hint="eastAsia"/>
          <w:kern w:val="0"/>
          <w:sz w:val="24"/>
        </w:rPr>
        <w:t>）；过高的水分含量将影响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储存的稳定性，导致</w:t>
      </w:r>
      <w:r>
        <w:rPr>
          <w:rFonts w:hint="eastAsia"/>
          <w:kern w:val="0"/>
          <w:sz w:val="24"/>
        </w:rPr>
        <w:t>油酸氧化变色</w:t>
      </w:r>
      <w:r>
        <w:rPr>
          <w:rFonts w:hint="eastAsia"/>
          <w:kern w:val="0"/>
          <w:sz w:val="24"/>
        </w:rPr>
        <w:t>因此根据市场调查结果设定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含水量≤</w:t>
      </w:r>
      <w:r>
        <w:rPr>
          <w:rFonts w:hint="eastAsia"/>
          <w:kern w:val="0"/>
          <w:sz w:val="24"/>
        </w:rPr>
        <w:t>0.16</w:t>
      </w:r>
      <w:r>
        <w:rPr>
          <w:rFonts w:hint="eastAsia"/>
          <w:kern w:val="0"/>
          <w:sz w:val="24"/>
        </w:rPr>
        <w:t>%</w:t>
      </w:r>
      <w:r>
        <w:rPr>
          <w:rFonts w:hint="eastAsia"/>
          <w:kern w:val="0"/>
          <w:sz w:val="24"/>
        </w:rPr>
        <w:t>。</w:t>
      </w:r>
      <w:r>
        <w:rPr>
          <w:rFonts w:ascii="Times New Roman" w:hAnsi="Times New Roman" w:hint="eastAsia"/>
          <w:kern w:val="0"/>
          <w:sz w:val="24"/>
          <w:szCs w:val="24"/>
        </w:rPr>
        <w:t>油</w:t>
      </w:r>
      <w:r>
        <w:rPr>
          <w:rFonts w:ascii="Times New Roman" w:hAnsi="Times New Roman" w:hint="eastAsia"/>
          <w:kern w:val="0"/>
          <w:sz w:val="24"/>
          <w:szCs w:val="24"/>
        </w:rPr>
        <w:t>酸</w:t>
      </w:r>
      <w:r>
        <w:rPr>
          <w:rFonts w:ascii="Times New Roman" w:hAnsi="Times New Roman" w:hint="eastAsia"/>
          <w:kern w:val="0"/>
          <w:sz w:val="24"/>
          <w:szCs w:val="24"/>
        </w:rPr>
        <w:t>的</w:t>
      </w:r>
      <w:r>
        <w:rPr>
          <w:rFonts w:ascii="Times New Roman" w:hAnsi="Times New Roman" w:hint="eastAsia"/>
          <w:kern w:val="0"/>
          <w:sz w:val="24"/>
          <w:szCs w:val="24"/>
        </w:rPr>
        <w:t>提纯</w:t>
      </w:r>
      <w:r>
        <w:rPr>
          <w:rFonts w:ascii="Times New Roman" w:hAnsi="Times New Roman" w:hint="eastAsia"/>
          <w:kern w:val="0"/>
          <w:sz w:val="24"/>
          <w:szCs w:val="24"/>
        </w:rPr>
        <w:t>过程可能会导致游离脂肪酸增加，而致使酸价增加。而游离脂肪酸增加，可能易于导致油脂的氧化速率加快，可能最终影响成品油脂质量。</w:t>
      </w:r>
      <w:r>
        <w:rPr>
          <w:rFonts w:ascii="Times New Roman" w:hAnsi="Times New Roman" w:hint="eastAsia"/>
          <w:kern w:val="0"/>
          <w:sz w:val="24"/>
          <w:szCs w:val="24"/>
        </w:rPr>
        <w:t>如今油</w:t>
      </w:r>
      <w:r>
        <w:rPr>
          <w:rFonts w:ascii="Times New Roman" w:hAnsi="Times New Roman" w:hint="eastAsia"/>
          <w:kern w:val="0"/>
          <w:sz w:val="24"/>
          <w:szCs w:val="24"/>
        </w:rPr>
        <w:t>酸</w:t>
      </w:r>
      <w:r>
        <w:rPr>
          <w:rFonts w:ascii="Times New Roman" w:hAnsi="Times New Roman" w:hint="eastAsia"/>
          <w:kern w:val="0"/>
          <w:sz w:val="24"/>
          <w:szCs w:val="24"/>
        </w:rPr>
        <w:t>加工方式呈现多样化，收集的样品中酸价差异</w:t>
      </w:r>
      <w:r>
        <w:rPr>
          <w:rFonts w:ascii="Times New Roman" w:hAnsi="Times New Roman" w:hint="eastAsia"/>
          <w:kern w:val="0"/>
          <w:sz w:val="24"/>
          <w:szCs w:val="24"/>
        </w:rPr>
        <w:t>较大</w:t>
      </w:r>
      <w:r>
        <w:rPr>
          <w:rFonts w:ascii="Times New Roman" w:hAnsi="Times New Roman" w:hint="eastAsia"/>
          <w:kern w:val="0"/>
          <w:sz w:val="24"/>
          <w:szCs w:val="24"/>
        </w:rPr>
        <w:t>，最高值可达</w:t>
      </w:r>
      <w:r>
        <w:rPr>
          <w:rFonts w:ascii="Times New Roman" w:hAnsi="Times New Roman" w:hint="eastAsia"/>
          <w:kern w:val="0"/>
          <w:sz w:val="24"/>
          <w:szCs w:val="24"/>
        </w:rPr>
        <w:t>29.47</w:t>
      </w:r>
      <w:r>
        <w:rPr>
          <w:rFonts w:ascii="Times New Roman" w:hAnsi="Times New Roman" w:hint="eastAsia"/>
          <w:kern w:val="0"/>
          <w:sz w:val="24"/>
          <w:szCs w:val="24"/>
        </w:rPr>
        <w:t>mg/g</w:t>
      </w:r>
      <w:r>
        <w:rPr>
          <w:rFonts w:ascii="Times New Roman" w:hAnsi="Times New Roman" w:hint="eastAsia"/>
          <w:kern w:val="0"/>
          <w:sz w:val="24"/>
          <w:szCs w:val="24"/>
        </w:rPr>
        <w:t>，因此在本标准中将一级油</w:t>
      </w:r>
      <w:r>
        <w:rPr>
          <w:rFonts w:ascii="Times New Roman" w:hAnsi="Times New Roman" w:hint="eastAsia"/>
          <w:kern w:val="0"/>
          <w:sz w:val="24"/>
          <w:szCs w:val="24"/>
        </w:rPr>
        <w:t>酸</w:t>
      </w:r>
      <w:r>
        <w:rPr>
          <w:rFonts w:ascii="Times New Roman" w:hAnsi="Times New Roman" w:hint="eastAsia"/>
          <w:kern w:val="0"/>
          <w:sz w:val="24"/>
          <w:szCs w:val="24"/>
        </w:rPr>
        <w:t>的酸价规定</w:t>
      </w:r>
      <w:r>
        <w:rPr>
          <w:rFonts w:ascii="Times New Roman" w:hAnsi="Times New Roman" w:hint="eastAsia"/>
          <w:kern w:val="0"/>
          <w:sz w:val="24"/>
          <w:szCs w:val="24"/>
        </w:rPr>
        <w:t>为</w:t>
      </w:r>
      <w:r>
        <w:rPr>
          <w:rFonts w:ascii="Times New Roman" w:hAnsi="Times New Roman" w:hint="eastAsia"/>
          <w:kern w:val="0"/>
          <w:sz w:val="24"/>
          <w:szCs w:val="24"/>
        </w:rPr>
        <w:t>6.0</w:t>
      </w:r>
      <w:r>
        <w:rPr>
          <w:rFonts w:ascii="Times New Roman" w:hAnsi="Times New Roman" w:hint="eastAsia"/>
          <w:kern w:val="0"/>
          <w:sz w:val="24"/>
          <w:szCs w:val="24"/>
        </w:rPr>
        <w:t>mg/g</w:t>
      </w:r>
      <w:r>
        <w:rPr>
          <w:rFonts w:ascii="Times New Roman" w:hAnsi="Times New Roman" w:hint="eastAsia"/>
          <w:kern w:val="0"/>
          <w:sz w:val="24"/>
          <w:szCs w:val="24"/>
        </w:rPr>
        <w:t>。</w:t>
      </w:r>
      <w:r>
        <w:rPr>
          <w:rFonts w:hint="eastAsia"/>
          <w:kern w:val="0"/>
          <w:sz w:val="24"/>
        </w:rPr>
        <w:t>同时，在进行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的纯化时，会用到</w:t>
      </w:r>
      <w:r>
        <w:rPr>
          <w:rFonts w:hint="eastAsia"/>
          <w:kern w:val="0"/>
          <w:sz w:val="24"/>
        </w:rPr>
        <w:t>甲醇、丙酮</w:t>
      </w:r>
      <w:r>
        <w:rPr>
          <w:rFonts w:hint="eastAsia"/>
          <w:kern w:val="0"/>
          <w:sz w:val="24"/>
        </w:rPr>
        <w:t>等溶剂，而这些溶剂对人的健康会造成危害，因此设定溶剂残留量不得检出。感官指标，包括外观，色泽和气味。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根据纯度不同通常为</w:t>
      </w:r>
      <w:r>
        <w:rPr>
          <w:rFonts w:hint="eastAsia"/>
          <w:kern w:val="0"/>
          <w:sz w:val="24"/>
        </w:rPr>
        <w:t>无色</w:t>
      </w:r>
      <w:r>
        <w:rPr>
          <w:rFonts w:hint="eastAsia"/>
          <w:kern w:val="0"/>
          <w:sz w:val="24"/>
        </w:rPr>
        <w:t>、</w:t>
      </w:r>
      <w:r>
        <w:rPr>
          <w:rFonts w:hint="eastAsia"/>
          <w:kern w:val="0"/>
          <w:sz w:val="24"/>
        </w:rPr>
        <w:t>淡黄</w:t>
      </w:r>
      <w:r>
        <w:rPr>
          <w:rFonts w:hint="eastAsia"/>
          <w:kern w:val="0"/>
          <w:sz w:val="24"/>
        </w:rPr>
        <w:t>色</w:t>
      </w:r>
      <w:r>
        <w:rPr>
          <w:rFonts w:hint="eastAsia"/>
          <w:kern w:val="0"/>
          <w:sz w:val="24"/>
        </w:rPr>
        <w:t>或者黄色的液体</w:t>
      </w:r>
      <w:r>
        <w:rPr>
          <w:rFonts w:hint="eastAsia"/>
          <w:kern w:val="0"/>
          <w:sz w:val="24"/>
        </w:rPr>
        <w:t>，</w:t>
      </w:r>
      <w:r>
        <w:rPr>
          <w:rFonts w:hint="eastAsia"/>
          <w:kern w:val="0"/>
          <w:sz w:val="24"/>
        </w:rPr>
        <w:t>油酸</w:t>
      </w:r>
      <w:r>
        <w:rPr>
          <w:rFonts w:hint="eastAsia"/>
          <w:kern w:val="0"/>
          <w:sz w:val="24"/>
        </w:rPr>
        <w:t>受空气及光照影响容易氧化、结块使颜色变深，形成不良气味，因</w:t>
      </w:r>
      <w:r>
        <w:rPr>
          <w:rFonts w:hint="eastAsia"/>
          <w:kern w:val="0"/>
          <w:sz w:val="24"/>
        </w:rPr>
        <w:t>此对外观、色泽、气味</w:t>
      </w:r>
      <w:r>
        <w:rPr>
          <w:rFonts w:hint="eastAsia"/>
          <w:kern w:val="0"/>
          <w:sz w:val="24"/>
        </w:rPr>
        <w:t>、</w:t>
      </w:r>
      <w:r>
        <w:rPr>
          <w:rFonts w:hint="eastAsia"/>
          <w:kern w:val="0"/>
          <w:sz w:val="24"/>
        </w:rPr>
        <w:t>折光率等指标</w:t>
      </w:r>
      <w:r>
        <w:rPr>
          <w:rFonts w:hint="eastAsia"/>
          <w:kern w:val="0"/>
          <w:sz w:val="24"/>
        </w:rPr>
        <w:t>进行质量指标限定。</w:t>
      </w:r>
    </w:p>
    <w:p w14:paraId="18A57AC1" w14:textId="77777777" w:rsidR="00170C9C" w:rsidRDefault="00D83256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kern w:val="0"/>
          <w:sz w:val="24"/>
        </w:rPr>
        <w:lastRenderedPageBreak/>
        <w:t>油酸</w:t>
      </w:r>
      <w:r>
        <w:rPr>
          <w:rFonts w:hint="eastAsia"/>
          <w:kern w:val="0"/>
          <w:sz w:val="24"/>
        </w:rPr>
        <w:t>的食品安全要求必须符合</w:t>
      </w:r>
      <w:r>
        <w:rPr>
          <w:kern w:val="0"/>
          <w:sz w:val="24"/>
        </w:rPr>
        <w:t>GB 2716</w:t>
      </w:r>
      <w:r>
        <w:rPr>
          <w:rFonts w:hint="eastAsia"/>
          <w:kern w:val="0"/>
          <w:sz w:val="24"/>
        </w:rPr>
        <w:t>。</w:t>
      </w:r>
    </w:p>
    <w:p w14:paraId="1F62FCE8" w14:textId="77777777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3.4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hAnsi="宋体"/>
          <w:sz w:val="24"/>
        </w:rPr>
        <w:t>国内公开发表的文献报道</w:t>
      </w:r>
    </w:p>
    <w:p w14:paraId="338D0C00" w14:textId="77777777" w:rsidR="00170C9C" w:rsidRDefault="00D83256">
      <w:pPr>
        <w:autoSpaceDE w:val="0"/>
        <w:autoSpaceDN w:val="0"/>
        <w:adjustRightInd w:val="0"/>
        <w:spacing w:line="360" w:lineRule="auto"/>
        <w:ind w:rightChars="218" w:right="458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hAnsi="宋体"/>
          <w:sz w:val="24"/>
        </w:rPr>
        <w:t>本标准制定过程中收集整理国内</w:t>
      </w:r>
      <w:r>
        <w:rPr>
          <w:rFonts w:hAnsi="宋体" w:hint="eastAsia"/>
          <w:sz w:val="24"/>
        </w:rPr>
        <w:t>外</w:t>
      </w:r>
      <w:r>
        <w:rPr>
          <w:rFonts w:hAnsi="宋体"/>
          <w:sz w:val="24"/>
        </w:rPr>
        <w:t>公开发表论文</w:t>
      </w:r>
      <w:r>
        <w:rPr>
          <w:rFonts w:hint="eastAsia"/>
          <w:sz w:val="24"/>
        </w:rPr>
        <w:t>若干</w:t>
      </w:r>
      <w:r>
        <w:rPr>
          <w:rFonts w:hAnsi="宋体"/>
          <w:sz w:val="24"/>
        </w:rPr>
        <w:t>篇，主要</w:t>
      </w:r>
      <w:r>
        <w:rPr>
          <w:rFonts w:hAnsi="宋体" w:hint="eastAsia"/>
          <w:sz w:val="24"/>
        </w:rPr>
        <w:t>质量及感官</w:t>
      </w:r>
      <w:r>
        <w:rPr>
          <w:rFonts w:hAnsi="宋体"/>
          <w:sz w:val="24"/>
        </w:rPr>
        <w:t>指标范围见表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。</w:t>
      </w:r>
    </w:p>
    <w:p w14:paraId="45122CEC" w14:textId="77777777" w:rsidR="00170C9C" w:rsidRDefault="00D83256">
      <w:pPr>
        <w:autoSpaceDE w:val="0"/>
        <w:autoSpaceDN w:val="0"/>
        <w:adjustRightInd w:val="0"/>
        <w:spacing w:line="360" w:lineRule="auto"/>
        <w:ind w:firstLine="420"/>
        <w:jc w:val="center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表</w:t>
      </w:r>
      <w:r>
        <w:rPr>
          <w:rFonts w:ascii="Times New Roman" w:eastAsiaTheme="minorEastAsia" w:hAnsi="Times New Roman"/>
          <w:kern w:val="0"/>
          <w:sz w:val="24"/>
          <w:szCs w:val="24"/>
        </w:rPr>
        <w:t xml:space="preserve">2 </w:t>
      </w:r>
      <w:r>
        <w:rPr>
          <w:rFonts w:ascii="Times New Roman" w:eastAsiaTheme="minorEastAsia" w:hAnsi="Times New Roman"/>
          <w:kern w:val="0"/>
          <w:sz w:val="24"/>
          <w:szCs w:val="24"/>
        </w:rPr>
        <w:t>油酸</w:t>
      </w:r>
      <w:r>
        <w:rPr>
          <w:rFonts w:ascii="Times New Roman" w:hAnsi="Times New Roman"/>
          <w:kern w:val="0"/>
          <w:sz w:val="24"/>
          <w:szCs w:val="24"/>
        </w:rPr>
        <w:t>产品文献报道数据</w:t>
      </w:r>
    </w:p>
    <w:tbl>
      <w:tblPr>
        <w:tblStyle w:val="a9"/>
        <w:tblW w:w="8755" w:type="dxa"/>
        <w:tblLook w:val="04A0" w:firstRow="1" w:lastRow="0" w:firstColumn="1" w:lastColumn="0" w:noHBand="0" w:noVBand="1"/>
      </w:tblPr>
      <w:tblGrid>
        <w:gridCol w:w="4219"/>
        <w:gridCol w:w="4536"/>
      </w:tblGrid>
      <w:tr w:rsidR="00170C9C" w14:paraId="5553F8AB" w14:textId="77777777">
        <w:trPr>
          <w:trHeight w:val="564"/>
        </w:trPr>
        <w:tc>
          <w:tcPr>
            <w:tcW w:w="4219" w:type="dxa"/>
            <w:vAlign w:val="center"/>
          </w:tcPr>
          <w:p w14:paraId="65523A2A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项目</w:t>
            </w:r>
          </w:p>
        </w:tc>
        <w:tc>
          <w:tcPr>
            <w:tcW w:w="4536" w:type="dxa"/>
          </w:tcPr>
          <w:p w14:paraId="1E8E54B2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质量指标</w:t>
            </w:r>
          </w:p>
        </w:tc>
      </w:tr>
      <w:tr w:rsidR="00170C9C" w14:paraId="4C66A7DC" w14:textId="77777777">
        <w:trPr>
          <w:trHeight w:val="410"/>
        </w:trPr>
        <w:tc>
          <w:tcPr>
            <w:tcW w:w="4219" w:type="dxa"/>
            <w:vAlign w:val="center"/>
          </w:tcPr>
          <w:p w14:paraId="1177A75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色泽</w:t>
            </w:r>
          </w:p>
        </w:tc>
        <w:tc>
          <w:tcPr>
            <w:tcW w:w="4536" w:type="dxa"/>
          </w:tcPr>
          <w:p w14:paraId="365A972F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浅黄色</w:t>
            </w:r>
          </w:p>
        </w:tc>
      </w:tr>
      <w:tr w:rsidR="00170C9C" w14:paraId="1D4B3A16" w14:textId="77777777">
        <w:tc>
          <w:tcPr>
            <w:tcW w:w="4219" w:type="dxa"/>
            <w:vAlign w:val="center"/>
          </w:tcPr>
          <w:p w14:paraId="19428F32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气味、滋味</w:t>
            </w:r>
          </w:p>
        </w:tc>
        <w:tc>
          <w:tcPr>
            <w:tcW w:w="4536" w:type="dxa"/>
          </w:tcPr>
          <w:p w14:paraId="297C36B3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无异味</w:t>
            </w:r>
          </w:p>
        </w:tc>
      </w:tr>
      <w:tr w:rsidR="00170C9C" w14:paraId="7556F483" w14:textId="77777777">
        <w:tc>
          <w:tcPr>
            <w:tcW w:w="4219" w:type="dxa"/>
            <w:vAlign w:val="center"/>
          </w:tcPr>
          <w:p w14:paraId="6A00154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透明度（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40℃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）</w:t>
            </w:r>
          </w:p>
        </w:tc>
        <w:tc>
          <w:tcPr>
            <w:tcW w:w="4536" w:type="dxa"/>
          </w:tcPr>
          <w:p w14:paraId="203D93A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透明</w:t>
            </w:r>
          </w:p>
        </w:tc>
      </w:tr>
      <w:tr w:rsidR="00170C9C" w14:paraId="50327532" w14:textId="77777777">
        <w:trPr>
          <w:trHeight w:val="445"/>
        </w:trPr>
        <w:tc>
          <w:tcPr>
            <w:tcW w:w="4219" w:type="dxa"/>
            <w:vAlign w:val="center"/>
          </w:tcPr>
          <w:p w14:paraId="23EF4D49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碘值</w:t>
            </w:r>
            <w:r>
              <w:rPr>
                <w:rFonts w:ascii="Times New Roman" w:eastAsiaTheme="minorEastAsia" w:hAnsi="Times New Roman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>gI</w:t>
            </w:r>
            <w:r>
              <w:rPr>
                <w:rFonts w:ascii="Times New Roman" w:eastAsiaTheme="minorEastAsia" w:hAnsi="Times New Roman"/>
                <w:szCs w:val="21"/>
                <w:vertAlign w:val="subscript"/>
              </w:rPr>
              <w:t>2</w:t>
            </w:r>
            <w:r>
              <w:rPr>
                <w:rFonts w:ascii="Times New Roman" w:eastAsiaTheme="minorEastAsia" w:hAnsi="Times New Roman"/>
                <w:szCs w:val="21"/>
              </w:rPr>
              <w:t>/100g</w:t>
            </w:r>
            <w:r>
              <w:rPr>
                <w:rFonts w:ascii="Times New Roman" w:eastAsiaTheme="minorEastAsia" w:hAnsi="Times New Roman"/>
                <w:szCs w:val="21"/>
              </w:rPr>
              <w:t>）</w:t>
            </w:r>
          </w:p>
        </w:tc>
        <w:tc>
          <w:tcPr>
            <w:tcW w:w="4536" w:type="dxa"/>
            <w:vAlign w:val="center"/>
          </w:tcPr>
          <w:p w14:paraId="2E74C190" w14:textId="77777777" w:rsidR="00170C9C" w:rsidRDefault="00D83256">
            <w:pPr>
              <w:widowControl/>
              <w:spacing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94.93</w:t>
            </w:r>
          </w:p>
        </w:tc>
      </w:tr>
      <w:tr w:rsidR="00170C9C" w14:paraId="22AD9FF4" w14:textId="77777777">
        <w:trPr>
          <w:trHeight w:val="408"/>
        </w:trPr>
        <w:tc>
          <w:tcPr>
            <w:tcW w:w="4219" w:type="dxa"/>
            <w:vAlign w:val="center"/>
          </w:tcPr>
          <w:p w14:paraId="3AC6EEBC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水分及挥发物</w:t>
            </w:r>
            <w:r>
              <w:rPr>
                <w:rFonts w:ascii="Times New Roman" w:eastAsiaTheme="minorEastAsia" w:hAnsi="Times New Roman"/>
                <w:szCs w:val="21"/>
              </w:rPr>
              <w:t>/(%)</w:t>
            </w:r>
          </w:p>
        </w:tc>
        <w:tc>
          <w:tcPr>
            <w:tcW w:w="4536" w:type="dxa"/>
            <w:vAlign w:val="center"/>
          </w:tcPr>
          <w:p w14:paraId="7CC16787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0.17</w:t>
            </w:r>
          </w:p>
        </w:tc>
      </w:tr>
      <w:tr w:rsidR="00170C9C" w14:paraId="009BCBD8" w14:textId="77777777">
        <w:tc>
          <w:tcPr>
            <w:tcW w:w="4219" w:type="dxa"/>
            <w:vAlign w:val="center"/>
          </w:tcPr>
          <w:p w14:paraId="79DE1B7E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密度</w:t>
            </w:r>
            <w:r>
              <w:rPr>
                <w:rFonts w:ascii="Times New Roman" w:eastAsiaTheme="minorEastAsia" w:hAnsi="Times New Roman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>kg/m³</w:t>
            </w:r>
            <w:r>
              <w:rPr>
                <w:rFonts w:ascii="Times New Roman" w:eastAsiaTheme="minorEastAsia" w:hAnsi="Times New Roman"/>
                <w:szCs w:val="21"/>
              </w:rPr>
              <w:t>）</w:t>
            </w:r>
          </w:p>
        </w:tc>
        <w:tc>
          <w:tcPr>
            <w:tcW w:w="4536" w:type="dxa"/>
            <w:vAlign w:val="center"/>
          </w:tcPr>
          <w:p w14:paraId="58D1B864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892.84</w:t>
            </w:r>
          </w:p>
        </w:tc>
      </w:tr>
      <w:tr w:rsidR="00170C9C" w14:paraId="24C6565A" w14:textId="77777777">
        <w:tc>
          <w:tcPr>
            <w:tcW w:w="4219" w:type="dxa"/>
            <w:vAlign w:val="center"/>
          </w:tcPr>
          <w:p w14:paraId="73E7C614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酸值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(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以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KOH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计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)/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mg/g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）</w:t>
            </w:r>
          </w:p>
        </w:tc>
        <w:tc>
          <w:tcPr>
            <w:tcW w:w="4536" w:type="dxa"/>
            <w:vAlign w:val="center"/>
          </w:tcPr>
          <w:p w14:paraId="1DA6D857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195.7</w:t>
            </w:r>
          </w:p>
        </w:tc>
      </w:tr>
      <w:tr w:rsidR="00170C9C" w14:paraId="5C2EC70A" w14:textId="77777777">
        <w:tc>
          <w:tcPr>
            <w:tcW w:w="4219" w:type="dxa"/>
            <w:vAlign w:val="center"/>
          </w:tcPr>
          <w:p w14:paraId="67EB7EE1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过氧化值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/(g/100g)</w:t>
            </w:r>
          </w:p>
        </w:tc>
        <w:tc>
          <w:tcPr>
            <w:tcW w:w="4536" w:type="dxa"/>
            <w:vAlign w:val="center"/>
          </w:tcPr>
          <w:p w14:paraId="506F62D1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209.29</w:t>
            </w:r>
          </w:p>
        </w:tc>
      </w:tr>
      <w:tr w:rsidR="00170C9C" w14:paraId="16358BE1" w14:textId="77777777">
        <w:tc>
          <w:tcPr>
            <w:tcW w:w="4219" w:type="dxa"/>
            <w:vAlign w:val="center"/>
          </w:tcPr>
          <w:p w14:paraId="09969FAE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粘度（</w:t>
            </w:r>
            <w:proofErr w:type="spellStart"/>
            <w:r>
              <w:rPr>
                <w:rFonts w:ascii="Times New Roman" w:eastAsiaTheme="minorEastAsia" w:hAnsi="Times New Roman"/>
                <w:kern w:val="0"/>
                <w:szCs w:val="21"/>
              </w:rPr>
              <w:t>mPa·s</w:t>
            </w:r>
            <w:proofErr w:type="spellEnd"/>
            <w:r>
              <w:rPr>
                <w:rFonts w:ascii="Times New Roman" w:eastAsiaTheme="minorEastAsia" w:hAnsi="Times New Roman"/>
                <w:kern w:val="0"/>
                <w:szCs w:val="21"/>
              </w:rPr>
              <w:t>）</w:t>
            </w:r>
          </w:p>
        </w:tc>
        <w:tc>
          <w:tcPr>
            <w:tcW w:w="4536" w:type="dxa"/>
            <w:vAlign w:val="center"/>
          </w:tcPr>
          <w:p w14:paraId="72788FE7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34.85</w:t>
            </w:r>
          </w:p>
        </w:tc>
      </w:tr>
      <w:tr w:rsidR="00170C9C" w14:paraId="368EC4E7" w14:textId="77777777">
        <w:tc>
          <w:tcPr>
            <w:tcW w:w="4219" w:type="dxa"/>
            <w:vAlign w:val="center"/>
          </w:tcPr>
          <w:p w14:paraId="1F43ED10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溶剂残留量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/(mg/kg)</w:t>
            </w:r>
          </w:p>
        </w:tc>
        <w:tc>
          <w:tcPr>
            <w:tcW w:w="4536" w:type="dxa"/>
            <w:vAlign w:val="center"/>
          </w:tcPr>
          <w:p w14:paraId="0BEA4CBE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未检出</w:t>
            </w:r>
          </w:p>
        </w:tc>
      </w:tr>
      <w:tr w:rsidR="00170C9C" w14:paraId="16CC1C5F" w14:textId="77777777">
        <w:tc>
          <w:tcPr>
            <w:tcW w:w="4219" w:type="dxa"/>
            <w:vAlign w:val="center"/>
          </w:tcPr>
          <w:p w14:paraId="1E24AE62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color w:val="FF0000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皂化值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mg/g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）</w:t>
            </w:r>
          </w:p>
        </w:tc>
        <w:tc>
          <w:tcPr>
            <w:tcW w:w="4536" w:type="dxa"/>
            <w:vAlign w:val="center"/>
          </w:tcPr>
          <w:p w14:paraId="00429EA0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196.4</w:t>
            </w:r>
          </w:p>
        </w:tc>
      </w:tr>
      <w:tr w:rsidR="00170C9C" w14:paraId="1B6FC48E" w14:textId="77777777">
        <w:tc>
          <w:tcPr>
            <w:tcW w:w="4219" w:type="dxa"/>
            <w:vAlign w:val="center"/>
          </w:tcPr>
          <w:p w14:paraId="2F691D7D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折光率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n</w:t>
            </w:r>
            <w:r>
              <w:rPr>
                <w:rFonts w:ascii="Times New Roman" w:eastAsiaTheme="minorEastAsia" w:hAnsi="Times New Roman"/>
                <w:kern w:val="0"/>
                <w:szCs w:val="21"/>
                <w:vertAlign w:val="superscript"/>
              </w:rPr>
              <w:t>20</w:t>
            </w:r>
            <w:r>
              <w:rPr>
                <w:rFonts w:ascii="Times New Roman" w:eastAsiaTheme="minorEastAsia" w:hAnsi="Times New Roman"/>
                <w:kern w:val="0"/>
                <w:szCs w:val="21"/>
                <w:vertAlign w:val="subscript"/>
              </w:rPr>
              <w:t>D</w:t>
            </w:r>
          </w:p>
        </w:tc>
        <w:tc>
          <w:tcPr>
            <w:tcW w:w="4536" w:type="dxa"/>
            <w:vAlign w:val="center"/>
          </w:tcPr>
          <w:p w14:paraId="6E9D165C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1.4625</w:t>
            </w:r>
          </w:p>
        </w:tc>
      </w:tr>
      <w:tr w:rsidR="00170C9C" w14:paraId="11851D32" w14:textId="77777777">
        <w:tc>
          <w:tcPr>
            <w:tcW w:w="4219" w:type="dxa"/>
            <w:vAlign w:val="center"/>
          </w:tcPr>
          <w:p w14:paraId="29D43C40" w14:textId="77777777" w:rsidR="00170C9C" w:rsidRDefault="00D83256">
            <w:pPr>
              <w:widowControl/>
              <w:wordWrap w:val="0"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凝固点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>/℃</w:t>
            </w:r>
          </w:p>
        </w:tc>
        <w:tc>
          <w:tcPr>
            <w:tcW w:w="4536" w:type="dxa"/>
            <w:vAlign w:val="center"/>
          </w:tcPr>
          <w:p w14:paraId="4E1833B9" w14:textId="77777777" w:rsidR="00170C9C" w:rsidRDefault="00D83256">
            <w:pPr>
              <w:widowControl/>
              <w:spacing w:beforeLines="50" w:before="156" w:line="240" w:lineRule="auto"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kern w:val="0"/>
                <w:szCs w:val="21"/>
              </w:rPr>
              <w:t>2.1</w:t>
            </w:r>
          </w:p>
        </w:tc>
      </w:tr>
    </w:tbl>
    <w:p w14:paraId="3ABDCA9A" w14:textId="77777777" w:rsidR="00170C9C" w:rsidRDefault="00170C9C">
      <w:pPr>
        <w:spacing w:line="360" w:lineRule="auto"/>
        <w:ind w:rightChars="218" w:right="458"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14:paraId="1E123BB5" w14:textId="77777777" w:rsidR="00170C9C" w:rsidRDefault="00D83256">
      <w:pPr>
        <w:spacing w:line="360" w:lineRule="auto"/>
        <w:ind w:firstLineChars="100" w:firstLine="24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3.4.4</w:t>
      </w:r>
      <w:r>
        <w:rPr>
          <w:rFonts w:ascii="Times New Roman" w:eastAsiaTheme="minorEastAsia" w:hAnsi="Times New Roman"/>
          <w:sz w:val="24"/>
          <w:szCs w:val="24"/>
        </w:rPr>
        <w:t>其他</w:t>
      </w:r>
    </w:p>
    <w:p w14:paraId="3C89465A" w14:textId="77777777" w:rsidR="00170C9C" w:rsidRDefault="00D83256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不得添加香精和香料。</w:t>
      </w:r>
    </w:p>
    <w:p w14:paraId="795CBBFD" w14:textId="77777777" w:rsidR="00170C9C" w:rsidRDefault="00D83256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5</w:t>
      </w:r>
      <w:r>
        <w:rPr>
          <w:rFonts w:asciiTheme="minorEastAsia" w:eastAsiaTheme="minorEastAsia" w:hAnsiTheme="minorEastAsia"/>
          <w:b/>
          <w:sz w:val="24"/>
          <w:szCs w:val="24"/>
        </w:rPr>
        <w:t>检验方法</w:t>
      </w:r>
    </w:p>
    <w:p w14:paraId="75A4DC2E" w14:textId="77777777" w:rsidR="00170C9C" w:rsidRDefault="00D8325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/>
          <w:sz w:val="24"/>
          <w:szCs w:val="24"/>
        </w:rPr>
        <w:t>检验方法是保证国家标准正确实施的重要手段，也是为监督部门提供的有力工具。本标准对所有指标的检验方法都作了明确规定。</w:t>
      </w:r>
    </w:p>
    <w:p w14:paraId="509FD9E7" w14:textId="77777777" w:rsidR="00170C9C" w:rsidRDefault="00D83256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/>
          <w:b/>
          <w:sz w:val="24"/>
          <w:szCs w:val="24"/>
        </w:rPr>
        <w:t>检验规则</w:t>
      </w:r>
    </w:p>
    <w:p w14:paraId="1F77633D" w14:textId="77777777" w:rsidR="00170C9C" w:rsidRDefault="00D83256">
      <w:pPr>
        <w:spacing w:line="360" w:lineRule="auto"/>
        <w:ind w:firstLine="4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检验规则包括抽样方法、出厂检验、型式检验、判定规则四项内容，对其都作了具体说明。</w:t>
      </w:r>
    </w:p>
    <w:p w14:paraId="4226D95A" w14:textId="77777777" w:rsidR="00170C9C" w:rsidRDefault="00D83256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7</w:t>
      </w:r>
      <w:r>
        <w:rPr>
          <w:rFonts w:asciiTheme="minorEastAsia" w:eastAsiaTheme="minorEastAsia" w:hAnsiTheme="minorEastAsia"/>
          <w:b/>
          <w:sz w:val="24"/>
          <w:szCs w:val="24"/>
        </w:rPr>
        <w:t>标签、标识、包装、储存与运输</w:t>
      </w:r>
    </w:p>
    <w:p w14:paraId="676D2264" w14:textId="77777777" w:rsidR="00170C9C" w:rsidRDefault="00D83256">
      <w:pPr>
        <w:spacing w:line="360" w:lineRule="auto"/>
        <w:ind w:firstLine="4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3.</w:t>
      </w:r>
      <w:r>
        <w:rPr>
          <w:rFonts w:asciiTheme="minorEastAsia" w:eastAsiaTheme="minorEastAsia" w:hAnsi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sz w:val="24"/>
          <w:szCs w:val="24"/>
        </w:rPr>
        <w:t>.1</w:t>
      </w:r>
      <w:r>
        <w:rPr>
          <w:rFonts w:asciiTheme="minorEastAsia" w:eastAsiaTheme="minorEastAsia" w:hAnsiTheme="minorEastAsia"/>
          <w:sz w:val="24"/>
          <w:szCs w:val="24"/>
        </w:rPr>
        <w:t>标签</w:t>
      </w:r>
    </w:p>
    <w:p w14:paraId="60CD4838" w14:textId="77777777" w:rsidR="00170C9C" w:rsidRDefault="00D83256">
      <w:pPr>
        <w:spacing w:line="360" w:lineRule="auto"/>
        <w:ind w:firstLine="4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本标准强调了标签的重要性，遵循</w:t>
      </w:r>
      <w:r>
        <w:rPr>
          <w:rFonts w:ascii="Times New Roman" w:eastAsiaTheme="minorEastAsia" w:hAnsi="Times New Roman"/>
          <w:sz w:val="24"/>
          <w:szCs w:val="24"/>
        </w:rPr>
        <w:t>GB 7718</w:t>
      </w:r>
      <w:r>
        <w:rPr>
          <w:rFonts w:asciiTheme="minorEastAsia" w:eastAsiaTheme="minorEastAsia" w:hAnsiTheme="minorEastAsia"/>
          <w:sz w:val="24"/>
          <w:szCs w:val="24"/>
        </w:rPr>
        <w:t>和</w:t>
      </w:r>
      <w:r>
        <w:rPr>
          <w:rFonts w:ascii="Times New Roman" w:eastAsiaTheme="minorEastAsia" w:hAnsi="Times New Roman"/>
          <w:sz w:val="24"/>
          <w:szCs w:val="24"/>
        </w:rPr>
        <w:t>GB 28050</w:t>
      </w:r>
      <w:r>
        <w:rPr>
          <w:rFonts w:asciiTheme="minorEastAsia" w:eastAsiaTheme="minorEastAsia" w:hAnsiTheme="minorEastAsia"/>
          <w:sz w:val="24"/>
          <w:szCs w:val="24"/>
        </w:rPr>
        <w:t>的规定，以维护消费者的知情权和选择权。</w:t>
      </w:r>
    </w:p>
    <w:p w14:paraId="3E5869C8" w14:textId="77777777" w:rsidR="00170C9C" w:rsidRDefault="00D83256">
      <w:pPr>
        <w:spacing w:line="360" w:lineRule="auto"/>
        <w:ind w:firstLine="4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sz w:val="24"/>
          <w:szCs w:val="24"/>
        </w:rPr>
        <w:t>.2</w:t>
      </w:r>
      <w:r>
        <w:rPr>
          <w:rFonts w:asciiTheme="minorEastAsia" w:eastAsiaTheme="minorEastAsia" w:hAnsiTheme="minorEastAsia"/>
          <w:sz w:val="24"/>
          <w:szCs w:val="24"/>
        </w:rPr>
        <w:t>包装</w:t>
      </w:r>
    </w:p>
    <w:p w14:paraId="60DEE489" w14:textId="77777777" w:rsidR="00170C9C" w:rsidRDefault="00D83256">
      <w:pPr>
        <w:spacing w:line="360" w:lineRule="auto"/>
        <w:ind w:firstLine="4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产品应符合</w:t>
      </w:r>
      <w:r>
        <w:rPr>
          <w:rFonts w:ascii="Times New Roman" w:eastAsiaTheme="minorEastAsia" w:hAnsi="Times New Roman"/>
          <w:sz w:val="24"/>
          <w:szCs w:val="24"/>
        </w:rPr>
        <w:t>GB/T 17374</w:t>
      </w:r>
      <w:r>
        <w:rPr>
          <w:rFonts w:asciiTheme="minorEastAsia" w:eastAsiaTheme="minorEastAsia" w:hAnsiTheme="minorEastAsia"/>
          <w:sz w:val="24"/>
          <w:szCs w:val="24"/>
        </w:rPr>
        <w:t>及国家的有关规定和要求执行。</w:t>
      </w:r>
    </w:p>
    <w:p w14:paraId="61F25587" w14:textId="77777777" w:rsidR="00170C9C" w:rsidRDefault="00D8325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.3 </w:t>
      </w:r>
      <w:r>
        <w:rPr>
          <w:rFonts w:asciiTheme="minorEastAsia" w:eastAsiaTheme="minorEastAsia" w:hAnsiTheme="minorEastAsia"/>
          <w:sz w:val="24"/>
          <w:szCs w:val="24"/>
        </w:rPr>
        <w:t>储存</w:t>
      </w:r>
    </w:p>
    <w:p w14:paraId="28C7FC41" w14:textId="77777777" w:rsidR="00170C9C" w:rsidRDefault="00D83256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应贮存于适宜的避光容器中充氮或真空保存，产品的最佳保存温度为</w:t>
      </w:r>
      <w:r>
        <w:rPr>
          <w:rFonts w:ascii="Times New Roman" w:eastAsiaTheme="minorEastAsia" w:hAnsi="Times New Roman"/>
          <w:sz w:val="24"/>
          <w:szCs w:val="24"/>
        </w:rPr>
        <w:t>-5℃</w:t>
      </w:r>
      <w:r>
        <w:rPr>
          <w:rFonts w:asciiTheme="minorEastAsia" w:eastAsiaTheme="minorEastAsia" w:hAnsiTheme="minorEastAsia"/>
          <w:sz w:val="24"/>
          <w:szCs w:val="24"/>
        </w:rPr>
        <w:t>以下。不得与有害、有毒物质一同存放。</w:t>
      </w:r>
    </w:p>
    <w:p w14:paraId="1B2505C9" w14:textId="77777777" w:rsidR="00170C9C" w:rsidRDefault="00D83256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 w:hint="eastAsia"/>
          <w:b/>
          <w:sz w:val="28"/>
          <w:szCs w:val="28"/>
        </w:rPr>
        <w:t>技术经济论证及预期的社会经济效果</w:t>
      </w:r>
    </w:p>
    <w:p w14:paraId="765B9E06" w14:textId="77777777" w:rsidR="00170C9C" w:rsidRDefault="00D83256">
      <w:pPr>
        <w:spacing w:line="360" w:lineRule="auto"/>
        <w:ind w:firstLineChars="196" w:firstLine="470"/>
        <w:rPr>
          <w:rFonts w:hAnsi="宋体"/>
          <w:sz w:val="24"/>
        </w:rPr>
      </w:pPr>
      <w:r>
        <w:rPr>
          <w:rFonts w:hAnsi="宋体" w:hint="eastAsia"/>
          <w:sz w:val="24"/>
        </w:rPr>
        <w:t>目前油酸国内市场状况良好，需求量稳中有升。我国一些较大规模的生产企业，从欧洲引进先进的技术设备后，其产品基本可以满足国内用户的需求。国内小企业数量虽多，但技术落后，产品质量较差。</w:t>
      </w:r>
      <w:r>
        <w:rPr>
          <w:rFonts w:hAnsi="宋体"/>
          <w:sz w:val="24"/>
        </w:rPr>
        <w:t>鉴于不断发展的国内外市场需求，有利于增强我国</w:t>
      </w:r>
      <w:r>
        <w:rPr>
          <w:rFonts w:hint="eastAsia"/>
          <w:sz w:val="24"/>
        </w:rPr>
        <w:t>“</w:t>
      </w:r>
      <w:r>
        <w:rPr>
          <w:rFonts w:hAnsi="宋体" w:hint="eastAsia"/>
          <w:sz w:val="24"/>
        </w:rPr>
        <w:t>油酸</w:t>
      </w:r>
      <w:r>
        <w:rPr>
          <w:rFonts w:hint="eastAsia"/>
          <w:sz w:val="24"/>
        </w:rPr>
        <w:t>”</w:t>
      </w:r>
      <w:r>
        <w:rPr>
          <w:rFonts w:hAnsi="宋体"/>
          <w:sz w:val="24"/>
        </w:rPr>
        <w:t>在国内外市场的竞争能力和地位。本标准具有科学性、先进性、针对性、适用性和可操作性，既体现了为消费者提供关于</w:t>
      </w:r>
      <w:r>
        <w:rPr>
          <w:rFonts w:hAnsi="宋体" w:hint="eastAsia"/>
          <w:sz w:val="24"/>
        </w:rPr>
        <w:t>油酸</w:t>
      </w:r>
      <w:r>
        <w:rPr>
          <w:rFonts w:hAnsi="宋体"/>
          <w:sz w:val="24"/>
        </w:rPr>
        <w:t>的正确客观信息，又体现了我国</w:t>
      </w:r>
      <w:r>
        <w:rPr>
          <w:rFonts w:hint="eastAsia"/>
          <w:sz w:val="24"/>
        </w:rPr>
        <w:t>“</w:t>
      </w:r>
      <w:r>
        <w:rPr>
          <w:rFonts w:hAnsi="宋体" w:hint="eastAsia"/>
          <w:sz w:val="24"/>
        </w:rPr>
        <w:t>油酸</w:t>
      </w:r>
      <w:r>
        <w:rPr>
          <w:rFonts w:hint="eastAsia"/>
          <w:sz w:val="24"/>
        </w:rPr>
        <w:t>”</w:t>
      </w:r>
      <w:r>
        <w:rPr>
          <w:rFonts w:hAnsi="宋体"/>
          <w:sz w:val="24"/>
        </w:rPr>
        <w:t>产品的质量和技术水平，可促进</w:t>
      </w:r>
      <w:r>
        <w:rPr>
          <w:rFonts w:hint="eastAsia"/>
          <w:sz w:val="24"/>
        </w:rPr>
        <w:t>“</w:t>
      </w:r>
      <w:r>
        <w:rPr>
          <w:rFonts w:hAnsi="宋体" w:hint="eastAsia"/>
          <w:sz w:val="24"/>
        </w:rPr>
        <w:t>油酸</w:t>
      </w:r>
      <w:r>
        <w:rPr>
          <w:rFonts w:hint="eastAsia"/>
          <w:sz w:val="24"/>
        </w:rPr>
        <w:t>”</w:t>
      </w:r>
      <w:r>
        <w:rPr>
          <w:rFonts w:hAnsi="宋体"/>
          <w:sz w:val="24"/>
        </w:rPr>
        <w:t>产品在国内的公平贸易。</w:t>
      </w:r>
      <w:r>
        <w:rPr>
          <w:rFonts w:hint="eastAsia"/>
          <w:sz w:val="24"/>
        </w:rPr>
        <w:t>“</w:t>
      </w:r>
      <w:r>
        <w:rPr>
          <w:rFonts w:hAnsi="宋体" w:hint="eastAsia"/>
          <w:sz w:val="24"/>
        </w:rPr>
        <w:t>油酸</w:t>
      </w:r>
      <w:r>
        <w:rPr>
          <w:rFonts w:hint="eastAsia"/>
          <w:sz w:val="24"/>
        </w:rPr>
        <w:t>”</w:t>
      </w:r>
      <w:r>
        <w:rPr>
          <w:rFonts w:hAnsi="宋体"/>
          <w:sz w:val="24"/>
        </w:rPr>
        <w:t>团体标准的制定，为我国</w:t>
      </w:r>
      <w:r>
        <w:rPr>
          <w:rFonts w:hint="eastAsia"/>
          <w:sz w:val="24"/>
        </w:rPr>
        <w:t>“</w:t>
      </w:r>
      <w:r>
        <w:rPr>
          <w:rFonts w:hAnsi="宋体" w:hint="eastAsia"/>
          <w:sz w:val="24"/>
        </w:rPr>
        <w:t>油酸</w:t>
      </w:r>
      <w:r>
        <w:rPr>
          <w:rFonts w:hint="eastAsia"/>
          <w:sz w:val="24"/>
        </w:rPr>
        <w:t>”</w:t>
      </w:r>
      <w:r>
        <w:rPr>
          <w:rFonts w:hAnsi="宋体"/>
          <w:sz w:val="24"/>
        </w:rPr>
        <w:t>加工的发展提供了较高的技术平台，为</w:t>
      </w:r>
      <w:r>
        <w:rPr>
          <w:rFonts w:hint="eastAsia"/>
          <w:sz w:val="24"/>
        </w:rPr>
        <w:t>“</w:t>
      </w:r>
      <w:r>
        <w:rPr>
          <w:rFonts w:hAnsi="宋体" w:hint="eastAsia"/>
          <w:sz w:val="24"/>
        </w:rPr>
        <w:t>油酸</w:t>
      </w:r>
      <w:r>
        <w:rPr>
          <w:rFonts w:hint="eastAsia"/>
          <w:sz w:val="24"/>
        </w:rPr>
        <w:t>”</w:t>
      </w:r>
      <w:r>
        <w:rPr>
          <w:rFonts w:hAnsi="宋体"/>
          <w:sz w:val="24"/>
        </w:rPr>
        <w:t>的规模化生产奠定了基础</w:t>
      </w:r>
      <w:r>
        <w:rPr>
          <w:rFonts w:hAnsi="宋体" w:hint="eastAsia"/>
          <w:sz w:val="24"/>
        </w:rPr>
        <w:t>。</w:t>
      </w:r>
    </w:p>
    <w:p w14:paraId="33CA3A40" w14:textId="77777777" w:rsidR="00170C9C" w:rsidRDefault="00D83256">
      <w:pPr>
        <w:spacing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  <w:r>
        <w:rPr>
          <w:rFonts w:ascii="宋体" w:hAnsi="宋体" w:hint="eastAsia"/>
          <w:b/>
          <w:sz w:val="28"/>
          <w:szCs w:val="28"/>
        </w:rPr>
        <w:t>采用国际标准和国外先进标准的程度，以及与国际、国外同类标准水平的对比情况</w:t>
      </w:r>
      <w:r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14:paraId="70297CA4" w14:textId="77777777" w:rsidR="00170C9C" w:rsidRDefault="00D83256">
      <w:pPr>
        <w:spacing w:line="360" w:lineRule="auto"/>
        <w:ind w:leftChars="100" w:left="210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本文件参照</w:t>
      </w:r>
      <w:r>
        <w:rPr>
          <w:rFonts w:ascii="Times New Roman" w:eastAsiaTheme="minorEastAsia" w:hAnsi="Times New Roman"/>
          <w:sz w:val="24"/>
          <w:szCs w:val="24"/>
        </w:rPr>
        <w:t>QB/T 2153-2010</w:t>
      </w:r>
      <w:r>
        <w:rPr>
          <w:rFonts w:asciiTheme="minorEastAsia" w:eastAsiaTheme="minorEastAsia" w:hAnsiTheme="minorEastAsia"/>
          <w:sz w:val="24"/>
          <w:szCs w:val="24"/>
        </w:rPr>
        <w:t>工业油酸</w:t>
      </w:r>
      <w:r>
        <w:rPr>
          <w:rFonts w:asciiTheme="minorEastAsia" w:eastAsiaTheme="minorEastAsia" w:hAnsiTheme="minorEastAsia" w:hint="eastAsia"/>
          <w:sz w:val="24"/>
          <w:szCs w:val="24"/>
        </w:rPr>
        <w:t>制定。</w:t>
      </w:r>
    </w:p>
    <w:p w14:paraId="029FA627" w14:textId="77777777" w:rsidR="00170C9C" w:rsidRDefault="00D83256">
      <w:pPr>
        <w:spacing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  <w:r>
        <w:rPr>
          <w:rFonts w:ascii="宋体" w:hAnsi="宋体" w:hint="eastAsia"/>
          <w:b/>
          <w:color w:val="333333"/>
          <w:sz w:val="28"/>
          <w:szCs w:val="28"/>
          <w:shd w:val="clear" w:color="auto" w:fill="FFFFFF"/>
        </w:rPr>
        <w:t>与有关的现行法律、法规和强制性国家标准的关系</w:t>
      </w:r>
    </w:p>
    <w:p w14:paraId="41B5E256" w14:textId="77777777" w:rsidR="00170C9C" w:rsidRDefault="00D83256">
      <w:pPr>
        <w:spacing w:line="360" w:lineRule="auto"/>
        <w:ind w:leftChars="100" w:left="210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本标准的制订，与国家相关食品安全等强制性标准的规定无矛盾和冲突。</w:t>
      </w:r>
    </w:p>
    <w:p w14:paraId="79B8D19C" w14:textId="77777777" w:rsidR="00170C9C" w:rsidRDefault="00D83256">
      <w:pPr>
        <w:spacing w:line="360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7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重大分歧意见的处理经过和依据</w:t>
      </w:r>
    </w:p>
    <w:p w14:paraId="424E52BF" w14:textId="7B0BCBF7" w:rsidR="00170C9C" w:rsidRDefault="00D83256" w:rsidP="0098455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无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51C933A4" w14:textId="77777777" w:rsidR="00170C9C" w:rsidRDefault="00D83256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8</w:t>
      </w:r>
      <w:r>
        <w:rPr>
          <w:rFonts w:ascii="宋体" w:hAnsi="宋体" w:hint="eastAsia"/>
          <w:b/>
          <w:sz w:val="28"/>
          <w:szCs w:val="28"/>
        </w:rPr>
        <w:t>标准作为推荐性标准的建议</w:t>
      </w:r>
    </w:p>
    <w:p w14:paraId="2ECEF4A5" w14:textId="4224F00B" w:rsidR="00170C9C" w:rsidRDefault="00D832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建议本标准的性质为</w:t>
      </w:r>
      <w:r w:rsidR="0098455D">
        <w:rPr>
          <w:rFonts w:asciiTheme="minorEastAsia" w:eastAsiaTheme="minorEastAsia" w:hAnsiTheme="minorEastAsia" w:hint="eastAsia"/>
          <w:sz w:val="24"/>
          <w:szCs w:val="24"/>
        </w:rPr>
        <w:t>团体标准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548C1E27" w14:textId="77777777" w:rsidR="00170C9C" w:rsidRDefault="00D83256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9</w:t>
      </w:r>
      <w:r>
        <w:rPr>
          <w:rFonts w:ascii="宋体" w:hAnsi="宋体" w:hint="eastAsia"/>
          <w:b/>
          <w:sz w:val="28"/>
          <w:szCs w:val="28"/>
        </w:rPr>
        <w:t>贯彻国家标准的要求和措施建议</w:t>
      </w:r>
    </w:p>
    <w:p w14:paraId="1E6DB18F" w14:textId="77777777" w:rsidR="00170C9C" w:rsidRDefault="00D83256">
      <w:pPr>
        <w:spacing w:line="360" w:lineRule="auto"/>
        <w:ind w:firstLineChars="200" w:firstLine="48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</w:t>
      </w:r>
      <w:r>
        <w:rPr>
          <w:bCs/>
          <w:sz w:val="24"/>
          <w:szCs w:val="24"/>
        </w:rPr>
        <w:t>）首先应在实施前保证文本的充足供应，让每个使用者都能及时得到文本。这是保证新标准贯彻实施的基础。</w:t>
      </w:r>
    </w:p>
    <w:p w14:paraId="71418A4C" w14:textId="77777777" w:rsidR="00170C9C" w:rsidRDefault="00D83256">
      <w:pPr>
        <w:spacing w:line="360" w:lineRule="auto"/>
        <w:ind w:firstLineChars="200" w:firstLine="480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）发布后、实施前应将信息在媒体上广为宣传。</w:t>
      </w:r>
    </w:p>
    <w:p w14:paraId="7A636D28" w14:textId="77777777" w:rsidR="00170C9C" w:rsidRDefault="00D83256">
      <w:pPr>
        <w:spacing w:line="360" w:lineRule="auto"/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3</w:t>
      </w:r>
      <w:r>
        <w:rPr>
          <w:bCs/>
          <w:sz w:val="24"/>
          <w:szCs w:val="24"/>
        </w:rPr>
        <w:t>）要分别标准的不同使用对象，消费者、生产厂家、质量监管部门等，有侧重点地进行培训、宣传。</w:t>
      </w:r>
    </w:p>
    <w:p w14:paraId="535F98EE" w14:textId="77777777" w:rsidR="00170C9C" w:rsidRDefault="00D83256">
      <w:pPr>
        <w:spacing w:line="360" w:lineRule="auto"/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4</w:t>
      </w:r>
      <w:r>
        <w:rPr>
          <w:bCs/>
          <w:sz w:val="24"/>
          <w:szCs w:val="24"/>
        </w:rPr>
        <w:t>）实施的过渡期宜定为</w:t>
      </w:r>
      <w:r>
        <w:rPr>
          <w:rFonts w:ascii="Times New Roman" w:hAnsi="Times New Roman"/>
          <w:bCs/>
          <w:sz w:val="24"/>
          <w:szCs w:val="24"/>
        </w:rPr>
        <w:t>6</w:t>
      </w:r>
      <w:r>
        <w:rPr>
          <w:bCs/>
          <w:sz w:val="24"/>
          <w:szCs w:val="24"/>
        </w:rPr>
        <w:t>个月。</w:t>
      </w:r>
    </w:p>
    <w:p w14:paraId="157AD6FA" w14:textId="77777777" w:rsidR="00170C9C" w:rsidRDefault="00170C9C">
      <w:pPr>
        <w:spacing w:line="360" w:lineRule="auto"/>
        <w:ind w:firstLineChars="200" w:firstLine="480"/>
        <w:rPr>
          <w:bCs/>
          <w:sz w:val="24"/>
          <w:szCs w:val="24"/>
        </w:rPr>
      </w:pPr>
    </w:p>
    <w:p w14:paraId="2495F99B" w14:textId="77777777" w:rsidR="00170C9C" w:rsidRDefault="00170C9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14:paraId="28957F69" w14:textId="77777777" w:rsidR="00170C9C" w:rsidRDefault="00170C9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14:paraId="0A45994B" w14:textId="017DD92B" w:rsidR="00170C9C" w:rsidRDefault="00D83256" w:rsidP="00175B9A">
      <w:pPr>
        <w:pStyle w:val="aa"/>
        <w:spacing w:before="0" w:after="0" w:line="400" w:lineRule="exact"/>
        <w:ind w:right="480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                              </w:t>
      </w:r>
      <w:r>
        <w:rPr>
          <w:rFonts w:ascii="宋体" w:eastAsia="宋体" w:hAnsi="宋体" w:cs="宋体" w:hint="eastAsia"/>
          <w:sz w:val="24"/>
          <w:szCs w:val="24"/>
        </w:rPr>
        <w:t>《油酸》</w:t>
      </w:r>
      <w:r w:rsidR="00175B9A">
        <w:rPr>
          <w:rFonts w:ascii="宋体" w:eastAsia="宋体" w:hAnsi="宋体" w:cs="宋体" w:hint="eastAsia"/>
          <w:sz w:val="24"/>
          <w:szCs w:val="24"/>
        </w:rPr>
        <w:t>团体标准</w:t>
      </w:r>
      <w:r>
        <w:rPr>
          <w:rFonts w:ascii="宋体" w:eastAsia="宋体" w:hAnsi="宋体" w:cs="宋体" w:hint="eastAsia"/>
          <w:sz w:val="24"/>
          <w:szCs w:val="24"/>
        </w:rPr>
        <w:t>起草组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14:paraId="2B1683ED" w14:textId="77777777" w:rsidR="00170C9C" w:rsidRDefault="00D83256" w:rsidP="00175B9A">
      <w:pPr>
        <w:pStyle w:val="aa"/>
        <w:spacing w:before="0" w:after="0" w:line="400" w:lineRule="exact"/>
        <w:ind w:right="480"/>
        <w:jc w:val="righ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</w:t>
      </w:r>
      <w:r>
        <w:rPr>
          <w:rFonts w:ascii="Times New Roman" w:eastAsia="宋体"/>
          <w:bCs/>
          <w:sz w:val="24"/>
          <w:szCs w:val="24"/>
        </w:rPr>
        <w:t>202</w:t>
      </w:r>
      <w:r>
        <w:rPr>
          <w:rFonts w:ascii="Times New Roman" w:eastAsia="宋体"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Cs/>
          <w:sz w:val="24"/>
          <w:szCs w:val="24"/>
        </w:rPr>
        <w:t>年</w:t>
      </w:r>
      <w:r>
        <w:rPr>
          <w:rFonts w:ascii="Times New Roman" w:eastAsia="宋体"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Cs/>
          <w:sz w:val="24"/>
          <w:szCs w:val="24"/>
        </w:rPr>
        <w:t>月</w:t>
      </w:r>
      <w:r>
        <w:rPr>
          <w:rFonts w:ascii="Times New Roman" w:eastAsia="宋体"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Cs/>
          <w:sz w:val="24"/>
          <w:szCs w:val="24"/>
        </w:rPr>
        <w:t>日</w:t>
      </w:r>
    </w:p>
    <w:sectPr w:rsidR="00170C9C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0FAF0" w14:textId="77777777" w:rsidR="00D83256" w:rsidRDefault="00D83256">
      <w:pPr>
        <w:spacing w:line="240" w:lineRule="auto"/>
      </w:pPr>
      <w:r>
        <w:separator/>
      </w:r>
    </w:p>
  </w:endnote>
  <w:endnote w:type="continuationSeparator" w:id="0">
    <w:p w14:paraId="567EF70A" w14:textId="77777777" w:rsidR="00D83256" w:rsidRDefault="00D832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F2B4C" w14:textId="77777777" w:rsidR="00D83256" w:rsidRDefault="00D83256">
      <w:pPr>
        <w:spacing w:line="240" w:lineRule="auto"/>
      </w:pPr>
      <w:r>
        <w:separator/>
      </w:r>
    </w:p>
  </w:footnote>
  <w:footnote w:type="continuationSeparator" w:id="0">
    <w:p w14:paraId="1D7D2811" w14:textId="77777777" w:rsidR="00D83256" w:rsidRDefault="00D832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B4C98" w14:textId="77777777" w:rsidR="00170C9C" w:rsidRDefault="00170C9C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21848"/>
    <w:multiLevelType w:val="multilevel"/>
    <w:tmpl w:val="3B921848"/>
    <w:lvl w:ilvl="0">
      <w:start w:val="1"/>
      <w:numFmt w:val="decimal"/>
      <w:lvlText w:val="（%1）"/>
      <w:lvlJc w:val="left"/>
      <w:pPr>
        <w:tabs>
          <w:tab w:val="left" w:pos="1200"/>
        </w:tabs>
        <w:ind w:left="120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5D7E"/>
    <w:rsid w:val="00003F82"/>
    <w:rsid w:val="0004292C"/>
    <w:rsid w:val="000708A1"/>
    <w:rsid w:val="00081AF2"/>
    <w:rsid w:val="00085F32"/>
    <w:rsid w:val="000918DD"/>
    <w:rsid w:val="00092B3F"/>
    <w:rsid w:val="000B26A8"/>
    <w:rsid w:val="000B650D"/>
    <w:rsid w:val="000E2846"/>
    <w:rsid w:val="00124A93"/>
    <w:rsid w:val="00170C9C"/>
    <w:rsid w:val="00175B9A"/>
    <w:rsid w:val="001A1298"/>
    <w:rsid w:val="001B1C8F"/>
    <w:rsid w:val="001B7600"/>
    <w:rsid w:val="001C18F4"/>
    <w:rsid w:val="00207A8F"/>
    <w:rsid w:val="002327E8"/>
    <w:rsid w:val="00245863"/>
    <w:rsid w:val="002573AD"/>
    <w:rsid w:val="00291FB9"/>
    <w:rsid w:val="002944DE"/>
    <w:rsid w:val="002A7AB2"/>
    <w:rsid w:val="002B53CC"/>
    <w:rsid w:val="002B5D07"/>
    <w:rsid w:val="002F22F3"/>
    <w:rsid w:val="003372FB"/>
    <w:rsid w:val="00340CD6"/>
    <w:rsid w:val="00372B8B"/>
    <w:rsid w:val="003B7FD3"/>
    <w:rsid w:val="003D5EE5"/>
    <w:rsid w:val="00426540"/>
    <w:rsid w:val="00433C9B"/>
    <w:rsid w:val="00461F94"/>
    <w:rsid w:val="00476A4D"/>
    <w:rsid w:val="00497BD9"/>
    <w:rsid w:val="004F1263"/>
    <w:rsid w:val="00505507"/>
    <w:rsid w:val="0051638A"/>
    <w:rsid w:val="00552176"/>
    <w:rsid w:val="00574C2E"/>
    <w:rsid w:val="005847D4"/>
    <w:rsid w:val="0059598B"/>
    <w:rsid w:val="005A172E"/>
    <w:rsid w:val="005B6B19"/>
    <w:rsid w:val="005D5B23"/>
    <w:rsid w:val="005F41EF"/>
    <w:rsid w:val="006003F5"/>
    <w:rsid w:val="00655F58"/>
    <w:rsid w:val="006768FF"/>
    <w:rsid w:val="00685D7E"/>
    <w:rsid w:val="006A3BA6"/>
    <w:rsid w:val="006B3849"/>
    <w:rsid w:val="006C2A07"/>
    <w:rsid w:val="007079B3"/>
    <w:rsid w:val="00720E4D"/>
    <w:rsid w:val="00733AF9"/>
    <w:rsid w:val="00740FFD"/>
    <w:rsid w:val="007619E4"/>
    <w:rsid w:val="00786D0B"/>
    <w:rsid w:val="00796C97"/>
    <w:rsid w:val="007B5397"/>
    <w:rsid w:val="007C532E"/>
    <w:rsid w:val="008901D2"/>
    <w:rsid w:val="00893FAF"/>
    <w:rsid w:val="008B74AA"/>
    <w:rsid w:val="008D6507"/>
    <w:rsid w:val="008F4D06"/>
    <w:rsid w:val="00910061"/>
    <w:rsid w:val="009426DC"/>
    <w:rsid w:val="0098455D"/>
    <w:rsid w:val="009A40D9"/>
    <w:rsid w:val="009E3D3A"/>
    <w:rsid w:val="00A22778"/>
    <w:rsid w:val="00A25C1A"/>
    <w:rsid w:val="00A27769"/>
    <w:rsid w:val="00AB3660"/>
    <w:rsid w:val="00AF46D7"/>
    <w:rsid w:val="00AF654B"/>
    <w:rsid w:val="00B3458D"/>
    <w:rsid w:val="00B768A3"/>
    <w:rsid w:val="00B874D4"/>
    <w:rsid w:val="00BA6B54"/>
    <w:rsid w:val="00BC5B61"/>
    <w:rsid w:val="00BD1EEF"/>
    <w:rsid w:val="00BD6554"/>
    <w:rsid w:val="00BD6788"/>
    <w:rsid w:val="00C03893"/>
    <w:rsid w:val="00C14CA4"/>
    <w:rsid w:val="00C159C6"/>
    <w:rsid w:val="00C346AA"/>
    <w:rsid w:val="00C52D60"/>
    <w:rsid w:val="00C60C82"/>
    <w:rsid w:val="00C94CF0"/>
    <w:rsid w:val="00CA01C5"/>
    <w:rsid w:val="00CB0954"/>
    <w:rsid w:val="00CB6903"/>
    <w:rsid w:val="00CE7A63"/>
    <w:rsid w:val="00D01558"/>
    <w:rsid w:val="00D65EBE"/>
    <w:rsid w:val="00D747FE"/>
    <w:rsid w:val="00D83256"/>
    <w:rsid w:val="00E154E1"/>
    <w:rsid w:val="00E40875"/>
    <w:rsid w:val="00E442E6"/>
    <w:rsid w:val="00E5277A"/>
    <w:rsid w:val="00EC7573"/>
    <w:rsid w:val="00ED1773"/>
    <w:rsid w:val="00EE2526"/>
    <w:rsid w:val="00F22382"/>
    <w:rsid w:val="00F2249B"/>
    <w:rsid w:val="00F41337"/>
    <w:rsid w:val="00F84F10"/>
    <w:rsid w:val="00F85068"/>
    <w:rsid w:val="00F85F38"/>
    <w:rsid w:val="00F933CE"/>
    <w:rsid w:val="00FB3DFC"/>
    <w:rsid w:val="00FC6717"/>
    <w:rsid w:val="00FF6745"/>
    <w:rsid w:val="2E1B251B"/>
    <w:rsid w:val="356D076B"/>
    <w:rsid w:val="39B4306C"/>
    <w:rsid w:val="47777DAE"/>
    <w:rsid w:val="63AC59B5"/>
    <w:rsid w:val="695A2660"/>
    <w:rsid w:val="77E62117"/>
    <w:rsid w:val="7B59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91F1E"/>
  <w15:docId w15:val="{4300DFAF-E727-4C54-ADAC-C3A22BA3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540" w:lineRule="exact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aa">
    <w:name w:val="目次、标准名称标题"/>
    <w:basedOn w:val="a"/>
    <w:next w:val="a"/>
    <w:qFormat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18A10DE-E168-4E5B-B42E-530F52229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812</Words>
  <Characters>4631</Characters>
  <Application>Microsoft Office Word</Application>
  <DocSecurity>0</DocSecurity>
  <Lines>38</Lines>
  <Paragraphs>10</Paragraphs>
  <ScaleCrop>false</ScaleCrop>
  <Company>Microsoft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油脂博物馆</dc:creator>
  <cp:lastModifiedBy>芬芬</cp:lastModifiedBy>
  <cp:revision>46</cp:revision>
  <dcterms:created xsi:type="dcterms:W3CDTF">2020-09-23T01:20:00Z</dcterms:created>
  <dcterms:modified xsi:type="dcterms:W3CDTF">2022-01-05T13:11:00Z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B5B0E6176D96495CB9235AD08B6D0985</vt:lpwstr>
  </property>
</Properties>
</file>